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3GPP</w:t>
      </w:r>
      <w:bookmarkStart w:id="16" w:name="_GoBack"/>
      <w:bookmarkEnd w:id="16"/>
      <w:r>
        <w:rPr>
          <w:rFonts w:ascii="Arial" w:hAnsi="Arial" w:cs="Arial"/>
          <w:b/>
          <w:sz w:val="24"/>
          <w:szCs w:val="24"/>
        </w:rPr>
        <w:t xml:space="preserve"> TSG-RAN WG4 Meeting # </w:t>
      </w:r>
      <w:r>
        <w:rPr>
          <w:rFonts w:hint="eastAsia" w:ascii="Arial" w:hAnsi="Arial" w:cs="Arial"/>
          <w:b/>
          <w:sz w:val="24"/>
          <w:szCs w:val="24"/>
        </w:rPr>
        <w:t>10</w:t>
      </w:r>
      <w:r>
        <w:rPr>
          <w:rFonts w:hint="eastAsia" w:ascii="Arial" w:hAnsi="Arial" w:cs="Arial"/>
          <w:b/>
          <w:sz w:val="24"/>
          <w:szCs w:val="24"/>
          <w:lang w:val="en-US" w:eastAsia="zh-CN"/>
        </w:rPr>
        <w:t>7</w:t>
      </w:r>
      <w:r>
        <w:rPr>
          <w:rFonts w:hint="eastAsia" w:ascii="Arial" w:hAnsi="Arial" w:cs="Arial"/>
          <w:b/>
          <w:sz w:val="24"/>
          <w:szCs w:val="24"/>
        </w:rPr>
        <w:t xml:space="preserve">                           </w:t>
      </w:r>
      <w:r>
        <w:rPr>
          <w:rFonts w:hint="eastAsia" w:ascii="Arial" w:hAnsi="Arial" w:cs="Arial"/>
          <w:b/>
          <w:color w:val="000000" w:themeColor="text1"/>
          <w:sz w:val="24"/>
          <w:szCs w:val="24"/>
          <w14:textFill>
            <w14:solidFill>
              <w14:schemeClr w14:val="tx1"/>
            </w14:solidFill>
          </w14:textFill>
        </w:rPr>
        <w:t xml:space="preserve">    R4-2308402</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color w:val="auto"/>
          <w:sz w:val="24"/>
          <w:szCs w:val="24"/>
        </w:rPr>
      </w:pPr>
      <w:r>
        <w:rPr>
          <w:rFonts w:hint="eastAsia" w:ascii="Arial" w:hAnsi="Arial" w:eastAsia="宋体" w:cs="Arial"/>
          <w:b/>
          <w:color w:val="auto"/>
          <w:sz w:val="24"/>
          <w:szCs w:val="24"/>
          <w:lang w:eastAsia="zh-CN"/>
        </w:rPr>
        <w:t>Incheon, KR, May 22 – May 26, 2023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rFonts w:hint="default" w:eastAsia="宋体"/>
          <w:b/>
          <w:lang w:val="en-US" w:eastAsia="zh-CN"/>
        </w:rPr>
      </w:pPr>
      <w:r>
        <w:rPr>
          <w:rFonts w:ascii="Arial" w:hAnsi="Arial"/>
          <w:b/>
          <w:sz w:val="24"/>
          <w:lang w:val="pt-BR"/>
        </w:rPr>
        <w:t xml:space="preserve">Title: </w:t>
      </w:r>
      <w:r>
        <w:rPr>
          <w:rFonts w:ascii="Arial" w:hAnsi="Arial"/>
          <w:b/>
          <w:sz w:val="24"/>
          <w:lang w:val="pt-BR"/>
        </w:rPr>
        <w:tab/>
      </w:r>
      <w:bookmarkStart w:id="3" w:name="OLE_LINK44"/>
      <w:r>
        <w:rPr>
          <w:rFonts w:hint="eastAsia" w:ascii="Arial" w:hAnsi="Arial"/>
          <w:b/>
          <w:sz w:val="24"/>
          <w:lang w:val="en-US" w:eastAsia="zh-CN"/>
        </w:rPr>
        <w:t>D</w:t>
      </w:r>
      <w:r>
        <w:rPr>
          <w:rStyle w:val="59"/>
          <w:rFonts w:hint="eastAsia"/>
          <w:b/>
          <w:lang w:val="pt-BR"/>
        </w:rPr>
        <w:t>iscussion on</w:t>
      </w:r>
      <w:bookmarkStart w:id="4" w:name="OLE_LINK7"/>
      <w:r>
        <w:rPr>
          <w:rStyle w:val="59"/>
          <w:rFonts w:hint="eastAsia"/>
          <w:b/>
        </w:rPr>
        <w:t> </w:t>
      </w:r>
      <w:bookmarkEnd w:id="3"/>
      <w:bookmarkEnd w:id="4"/>
      <w:r>
        <w:rPr>
          <w:rStyle w:val="59"/>
          <w:rFonts w:hint="eastAsia"/>
          <w:b/>
          <w:lang w:val="en-US" w:eastAsia="zh-CN"/>
        </w:rPr>
        <w:t>demodulation for 4Tx of NR_ENDC_RF_FR1_enh2</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8.5.3.2</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Document for:</w:t>
      </w:r>
      <w:r>
        <w:rPr>
          <w:rStyle w:val="59"/>
          <w:rFonts w:hint="eastAsia"/>
          <w:b/>
          <w:lang w:val="pt-BR"/>
        </w:rPr>
        <w:tab/>
      </w:r>
      <w:r>
        <w:rPr>
          <w:rStyle w:val="59"/>
          <w:rFonts w:hint="eastAsia"/>
          <w:b/>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i/>
          <w:iCs/>
        </w:rPr>
      </w:pPr>
      <w:r>
        <w:rPr>
          <w:b/>
          <w:kern w:val="0"/>
          <w:sz w:val="24"/>
          <w:szCs w:val="24"/>
        </w:rPr>
        <w:t>1 Introduction</w:t>
      </w:r>
      <w:bookmarkStart w:id="5" w:name="OLE_LINK25"/>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bookmarkStart w:id="6" w:name="OLE_LINK33"/>
      <w:r>
        <w:rPr>
          <w:rFonts w:hint="eastAsia"/>
          <w:bCs/>
          <w:kern w:val="0"/>
          <w:sz w:val="21"/>
          <w:szCs w:val="21"/>
          <w:highlight w:val="none"/>
          <w:lang w:val="en-US" w:eastAsia="zh-CN"/>
        </w:rPr>
        <w:t xml:space="preserve">The objectives for 4Tx of further RF requirements enhancement for NR and EN-DC in frequency range 1 (FR1) </w:t>
      </w:r>
      <w:r>
        <w:rPr>
          <w:rFonts w:hint="eastAsia"/>
          <w:lang w:val="en-US" w:eastAsia="zh-CN"/>
        </w:rPr>
        <w:t xml:space="preserve">are listed in the following </w:t>
      </w:r>
      <w:r>
        <w:rPr>
          <w:rFonts w:hint="eastAsia"/>
          <w:bCs/>
          <w:kern w:val="0"/>
          <w:sz w:val="21"/>
          <w:szCs w:val="21"/>
          <w:highlight w:val="none"/>
          <w:lang w:val="en-US" w:eastAsia="zh-CN"/>
        </w:rPr>
        <w:t>[1]</w:t>
      </w:r>
      <w:r>
        <w:rPr>
          <w:rFonts w:hint="eastAsia"/>
          <w:lang w:val="en-US" w:eastAsia="zh-CN"/>
        </w:rPr>
        <w:t>:</w:t>
      </w:r>
    </w:p>
    <w:p>
      <w:pPr>
        <w:pageBreakBefore w:val="0"/>
        <w:kinsoku/>
        <w:wordWrap/>
        <w:overflowPunct/>
        <w:topLinePunct w:val="0"/>
        <w:autoSpaceDE/>
        <w:autoSpaceDN/>
        <w:bidi w:val="0"/>
        <w:adjustRightInd/>
        <w:snapToGrid/>
        <w:spacing w:before="120" w:beforeLines="0" w:after="120" w:afterLines="0" w:line="240" w:lineRule="auto"/>
        <w:textAlignment w:val="auto"/>
        <w:rPr>
          <w:b/>
          <w:lang w:val="en-US" w:eastAsia="zh-CN"/>
        </w:rPr>
      </w:pPr>
      <w:bookmarkStart w:id="7" w:name="OLE_LINK19"/>
      <w:r>
        <w:rPr>
          <w:rFonts w:hint="eastAsia"/>
          <w:b/>
          <w:lang w:val="en-US" w:eastAsia="zh-CN"/>
        </w:rPr>
        <w:t xml:space="preserve">Enable 4Tx on a single carrier for CPE/FWA/vehicle/industrial devices </w:t>
      </w:r>
      <w:r>
        <w:rPr>
          <w:b/>
          <w:lang w:val="en-US" w:eastAsia="zh-CN"/>
        </w:rPr>
        <w:t>[</w:t>
      </w:r>
      <w:r>
        <w:rPr>
          <w:rFonts w:hint="eastAsia"/>
          <w:b/>
          <w:lang w:val="en-US" w:eastAsia="zh-CN"/>
        </w:rPr>
        <w:t>RAN4</w:t>
      </w:r>
      <w:r>
        <w:rPr>
          <w:b/>
          <w:lang w:val="en-US" w:eastAsia="zh-CN"/>
        </w:rPr>
        <w:t>]</w:t>
      </w:r>
    </w:p>
    <w:p>
      <w:pPr>
        <w:pageBreakBefore w:val="0"/>
        <w:numPr>
          <w:ilvl w:val="0"/>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Investigate framework and architecture Example bands:</w:t>
      </w:r>
    </w:p>
    <w:p>
      <w:pPr>
        <w:pageBreakBefore w:val="0"/>
        <w:numPr>
          <w:ilvl w:val="1"/>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rFonts w:hint="eastAsia"/>
          <w:lang w:val="en-US" w:eastAsia="zh-CN"/>
        </w:rPr>
        <w:t xml:space="preserve">TDD bands: n41, </w:t>
      </w:r>
      <w:r>
        <w:rPr>
          <w:lang w:val="en-US" w:eastAsia="zh-CN"/>
        </w:rPr>
        <w:t>n77/n78</w:t>
      </w:r>
    </w:p>
    <w:p>
      <w:pPr>
        <w:pageBreakBefore w:val="0"/>
        <w:numPr>
          <w:ilvl w:val="1"/>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rFonts w:hint="eastAsia"/>
          <w:lang w:val="en-US" w:eastAsia="zh-CN"/>
        </w:rPr>
        <w:t>FDD bands: n1</w:t>
      </w:r>
    </w:p>
    <w:p>
      <w:pPr>
        <w:pageBreakBefore w:val="0"/>
        <w:numPr>
          <w:ilvl w:val="2"/>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Note 1: the total number of example bands should be limited to 3. n77/n78 are considered as one band during the study.</w:t>
      </w:r>
    </w:p>
    <w:p>
      <w:pPr>
        <w:pageBreakBefore w:val="0"/>
        <w:numPr>
          <w:ilvl w:val="2"/>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Note 2: other bands to be introduced in the release independent way later on from Rel-18</w:t>
      </w:r>
    </w:p>
    <w:p>
      <w:pPr>
        <w:pageBreakBefore w:val="0"/>
        <w:numPr>
          <w:ilvl w:val="2"/>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rFonts w:hint="eastAsia"/>
          <w:lang w:val="en-US" w:eastAsia="zh-CN"/>
        </w:rPr>
        <w:t>Note 3: specifying requirements for TDD bands has first priority</w:t>
      </w:r>
    </w:p>
    <w:p>
      <w:pPr>
        <w:pageBreakBefore w:val="0"/>
        <w:numPr>
          <w:ilvl w:val="0"/>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 xml:space="preserve">  Specify the UE RF requirements to support 4Tx</w:t>
      </w:r>
    </w:p>
    <w:p>
      <w:pPr>
        <w:pageBreakBefore w:val="0"/>
        <w:numPr>
          <w:ilvl w:val="1"/>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rFonts w:hint="eastAsia"/>
          <w:lang w:val="en-US" w:eastAsia="zh-CN"/>
        </w:rPr>
        <w:t>First priority: 4x4 UL MIMO</w:t>
      </w:r>
    </w:p>
    <w:p>
      <w:pPr>
        <w:pageBreakBefore w:val="0"/>
        <w:numPr>
          <w:ilvl w:val="1"/>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rFonts w:hint="eastAsia"/>
          <w:lang w:val="en-US" w:eastAsia="zh-CN"/>
        </w:rPr>
        <w:t xml:space="preserve">Second priority: investigate and if necessary specify TxD requirement to support the same power class in UL MIMO and single antenna port </w:t>
      </w:r>
    </w:p>
    <w:p>
      <w:pPr>
        <w:pageBreakBefore w:val="0"/>
        <w:numPr>
          <w:ilvl w:val="1"/>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rFonts w:hint="eastAsia"/>
          <w:lang w:val="en-US" w:eastAsia="zh-CN"/>
        </w:rPr>
        <w:t>PA configuration assumption:</w:t>
      </w:r>
    </w:p>
    <w:p>
      <w:pPr>
        <w:pageBreakBefore w:val="0"/>
        <w:numPr>
          <w:ilvl w:val="2"/>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First priority: 4x23dBm</w:t>
      </w:r>
    </w:p>
    <w:p>
      <w:pPr>
        <w:pageBreakBefore w:val="0"/>
        <w:numPr>
          <w:ilvl w:val="2"/>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rFonts w:hint="eastAsia"/>
          <w:lang w:val="en-US" w:eastAsia="zh-CN"/>
        </w:rPr>
        <w:t>Second priority: 2x23dBm + 2x26dBm, 4x26dBm</w:t>
      </w:r>
    </w:p>
    <w:p>
      <w:pPr>
        <w:pageBreakBefore w:val="0"/>
        <w:numPr>
          <w:ilvl w:val="1"/>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rFonts w:hint="eastAsia"/>
          <w:lang w:val="en-US" w:eastAsia="zh-CN"/>
        </w:rPr>
        <w:t>UE power class</w:t>
      </w:r>
    </w:p>
    <w:p>
      <w:pPr>
        <w:pageBreakBefore w:val="0"/>
        <w:numPr>
          <w:ilvl w:val="2"/>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First priority: PC 1.5</w:t>
      </w:r>
    </w:p>
    <w:p>
      <w:pPr>
        <w:pageBreakBefore w:val="0"/>
        <w:numPr>
          <w:ilvl w:val="2"/>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Second priority: PC2/PC3, and/or new power class if needed</w:t>
      </w:r>
    </w:p>
    <w:p>
      <w:pPr>
        <w:pageBreakBefore w:val="0"/>
        <w:numPr>
          <w:ilvl w:val="2"/>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Note 1: PC1.5 is only applicable for TDD bands</w:t>
      </w:r>
    </w:p>
    <w:p>
      <w:pPr>
        <w:pageBreakBefore w:val="0"/>
        <w:numPr>
          <w:ilvl w:val="1"/>
          <w:numId w:val="7"/>
        </w:numPr>
        <w:kinsoku/>
        <w:wordWrap/>
        <w:overflowPunct/>
        <w:topLinePunct w:val="0"/>
        <w:autoSpaceDE/>
        <w:autoSpaceDN/>
        <w:bidi w:val="0"/>
        <w:adjustRightInd/>
        <w:snapToGrid/>
        <w:spacing w:before="120" w:beforeLines="0" w:after="120" w:afterLines="0" w:line="240" w:lineRule="auto"/>
        <w:textAlignment w:val="auto"/>
        <w:rPr>
          <w:lang w:val="en-US" w:eastAsia="zh-CN"/>
        </w:rPr>
      </w:pPr>
      <w:r>
        <w:rPr>
          <w:lang w:val="en-US" w:eastAsia="zh-CN"/>
        </w:rPr>
        <w:t>Note: detailed combinations for 2nd priority PA/UE power class assumptions are to be revisited in RAN#97</w:t>
      </w:r>
    </w:p>
    <w:p>
      <w:pPr>
        <w:pageBreakBefore w:val="0"/>
        <w:numPr>
          <w:ilvl w:val="0"/>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NOTE1: Requirements are specified with phase approach. Objectives with 1st priority are considered first.</w:t>
      </w:r>
    </w:p>
    <w:p>
      <w:pPr>
        <w:pageBreakBefore w:val="0"/>
        <w:numPr>
          <w:ilvl w:val="0"/>
          <w:numId w:val="7"/>
        </w:numPr>
        <w:kinsoku/>
        <w:wordWrap/>
        <w:overflowPunct/>
        <w:topLinePunct w:val="0"/>
        <w:autoSpaceDE/>
        <w:autoSpaceDN/>
        <w:bidi w:val="0"/>
        <w:adjustRightInd/>
        <w:snapToGrid/>
        <w:spacing w:before="120" w:beforeLines="0" w:after="120" w:afterLines="0" w:line="240" w:lineRule="auto"/>
        <w:ind w:hanging="357"/>
        <w:textAlignment w:val="auto"/>
        <w:rPr>
          <w:lang w:val="en-US" w:eastAsia="zh-CN"/>
        </w:rPr>
      </w:pPr>
      <w:r>
        <w:rPr>
          <w:lang w:val="en-US" w:eastAsia="zh-CN"/>
        </w:rPr>
        <w:t>NOTE2: It is assumed the devices are equipped with 4Rx antennas for band n1 requirement definition.</w:t>
      </w:r>
      <w:bookmarkEnd w:id="7"/>
    </w:p>
    <w:p>
      <w:pPr>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kern w:val="0"/>
          <w:sz w:val="20"/>
        </w:rPr>
      </w:pPr>
      <w:r>
        <w:rPr>
          <w:rFonts w:hint="eastAsia"/>
          <w:bCs/>
          <w:kern w:val="0"/>
          <w:sz w:val="21"/>
          <w:szCs w:val="21"/>
          <w:highlight w:val="none"/>
          <w:lang w:val="en-US" w:eastAsia="zh-CN"/>
        </w:rPr>
        <w:t xml:space="preserve">In this contribution, </w:t>
      </w:r>
      <w:bookmarkStart w:id="8" w:name="OLE_LINK18"/>
      <w:r>
        <w:rPr>
          <w:rFonts w:hint="eastAsia"/>
          <w:bCs/>
          <w:kern w:val="0"/>
          <w:sz w:val="21"/>
          <w:szCs w:val="21"/>
          <w:highlight w:val="none"/>
          <w:lang w:val="en-US" w:eastAsia="zh-CN"/>
        </w:rPr>
        <w:t>we share our simulation results 4Tx.</w:t>
      </w:r>
      <w:bookmarkEnd w:id="8"/>
      <w:r>
        <w:rPr>
          <w:rFonts w:hint="eastAsia"/>
          <w:kern w:val="0"/>
          <w:sz w:val="20"/>
        </w:rPr>
        <w:t xml:space="preserve"> </w:t>
      </w:r>
      <w:bookmarkEnd w:id="6"/>
    </w:p>
    <w:bookmarkEnd w:id="5"/>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default" w:eastAsia="宋体"/>
          <w:b/>
          <w:bCs/>
          <w:u w:val="single"/>
          <w:lang w:val="en-US" w:eastAsia="zh-CN" w:bidi="hi-IN"/>
        </w:rPr>
      </w:pPr>
      <w:bookmarkStart w:id="9" w:name="OLE_LINK41"/>
      <w:bookmarkStart w:id="10" w:name="OLE_LINK6"/>
      <w:bookmarkStart w:id="11" w:name="OLE_LINK66"/>
      <w:bookmarkStart w:id="12" w:name="OLE_LINK23"/>
      <w:r>
        <w:rPr>
          <w:rFonts w:hint="eastAsia" w:eastAsia="宋体"/>
          <w:b/>
          <w:bCs/>
          <w:u w:val="single"/>
          <w:lang w:val="en-US" w:eastAsia="zh-CN" w:bidi="hi-IN"/>
        </w:rPr>
        <w:t xml:space="preserve">2.1 </w:t>
      </w:r>
      <w:r>
        <w:rPr>
          <w:rFonts w:hint="eastAsia"/>
          <w:b/>
          <w:bCs/>
          <w:u w:val="single"/>
          <w:lang w:val="en-US" w:eastAsia="zh-CN" w:bidi="hi-IN"/>
        </w:rPr>
        <w:t>BW</w:t>
      </w:r>
    </w:p>
    <w:p>
      <w:pPr>
        <w:pStyle w:val="62"/>
        <w:keepLines w:val="0"/>
        <w:widowControl w:val="0"/>
        <w:spacing w:before="120" w:after="120"/>
        <w:ind w:left="0" w:firstLine="0"/>
        <w:jc w:val="both"/>
        <w:rPr>
          <w:rFonts w:hint="default"/>
          <w:lang w:val="en-US" w:eastAsia="zh-CN"/>
        </w:rPr>
      </w:pPr>
      <w:r>
        <w:rPr>
          <w:rFonts w:hint="eastAsia"/>
          <w:lang w:val="en-US" w:eastAsia="zh-CN"/>
        </w:rPr>
        <w:t>The BW for different SCS was reached in last meeting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lang w:eastAsia="ko-KR"/>
              </w:rPr>
            </w:pPr>
            <w:r>
              <w:rPr>
                <w:b/>
                <w:u w:val="single"/>
                <w:lang w:eastAsia="ko-KR"/>
              </w:rPr>
              <w:t>Issue 1-1-1: Bandwidth selection between 20MHz and 50MHz</w:t>
            </w:r>
          </w:p>
          <w:p>
            <w:pPr>
              <w:overflowPunct w:val="0"/>
              <w:autoSpaceDE w:val="0"/>
              <w:autoSpaceDN w:val="0"/>
              <w:adjustRightInd w:val="0"/>
              <w:spacing w:after="180"/>
              <w:textAlignment w:val="baseline"/>
              <w:rPr>
                <w:b/>
                <w:lang w:eastAsia="zh-CN"/>
              </w:rPr>
            </w:pPr>
            <w:r>
              <w:rPr>
                <w:b/>
                <w:lang w:eastAsia="zh-CN"/>
              </w:rPr>
              <w:t xml:space="preserve">Agreement: </w:t>
            </w:r>
          </w:p>
          <w:p>
            <w:pPr>
              <w:pStyle w:val="32"/>
              <w:numPr>
                <w:ilvl w:val="1"/>
                <w:numId w:val="8"/>
              </w:numPr>
              <w:overflowPunct/>
              <w:autoSpaceDE/>
              <w:autoSpaceDN/>
              <w:adjustRightInd/>
              <w:spacing w:after="120"/>
              <w:ind w:left="311" w:leftChars="148"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15kHz: </w:t>
            </w:r>
          </w:p>
          <w:p>
            <w:pPr>
              <w:pStyle w:val="32"/>
              <w:numPr>
                <w:ilvl w:val="2"/>
                <w:numId w:val="8"/>
              </w:numPr>
              <w:overflowPunct/>
              <w:autoSpaceDE/>
              <w:autoSpaceDN/>
              <w:adjustRightInd/>
              <w:spacing w:after="120"/>
              <w:ind w:left="1067" w:leftChars="508"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Introduce requirements for 5MHz and 50MHz, FFS on 20MHz</w:t>
            </w:r>
          </w:p>
          <w:p>
            <w:pPr>
              <w:pStyle w:val="32"/>
              <w:numPr>
                <w:ilvl w:val="1"/>
                <w:numId w:val="8"/>
              </w:numPr>
              <w:overflowPunct/>
              <w:autoSpaceDE/>
              <w:autoSpaceDN/>
              <w:adjustRightInd/>
              <w:spacing w:after="120"/>
              <w:ind w:left="311" w:leftChars="148"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30kHz: </w:t>
            </w:r>
          </w:p>
          <w:p>
            <w:pPr>
              <w:pStyle w:val="32"/>
              <w:numPr>
                <w:ilvl w:val="2"/>
                <w:numId w:val="8"/>
              </w:numPr>
              <w:overflowPunct/>
              <w:autoSpaceDE/>
              <w:autoSpaceDN/>
              <w:adjustRightInd/>
              <w:spacing w:after="120"/>
              <w:ind w:left="1067" w:leftChars="508" w:firstLineChars="0"/>
              <w:textAlignment w:val="auto"/>
              <w:rPr>
                <w:rFonts w:hint="default"/>
                <w:vertAlign w:val="baseline"/>
                <w:lang w:val="en-US" w:eastAsia="zh-CN"/>
              </w:rPr>
            </w:pPr>
            <w:r>
              <w:rPr>
                <w:rFonts w:eastAsia="宋体"/>
                <w:color w:val="000000" w:themeColor="text1"/>
                <w:szCs w:val="24"/>
                <w:lang w:eastAsia="zh-CN"/>
                <w14:textFill>
                  <w14:solidFill>
                    <w14:schemeClr w14:val="tx1"/>
                  </w14:solidFill>
                </w14:textFill>
              </w:rPr>
              <w:t xml:space="preserve">Introduce requirements for 10MHz and 100MHz, FFS on 40MHz </w:t>
            </w:r>
          </w:p>
        </w:tc>
      </w:tr>
    </w:tbl>
    <w:p>
      <w:pPr>
        <w:pStyle w:val="62"/>
        <w:keepLines w:val="0"/>
        <w:widowControl w:val="0"/>
        <w:spacing w:before="120" w:after="120"/>
        <w:ind w:left="0" w:firstLine="0"/>
        <w:jc w:val="both"/>
        <w:rPr>
          <w:rFonts w:hint="eastAsia"/>
          <w:lang w:val="en-US" w:eastAsia="zh-CN"/>
        </w:rPr>
      </w:pPr>
      <w:r>
        <w:rPr>
          <w:rFonts w:hint="eastAsia"/>
          <w:lang w:val="en-US" w:eastAsia="zh-CN"/>
        </w:rPr>
        <w:t>Base on the simulation results in our accompany contribution, we can find that the operating SNR gap between 5MHz and 50MHz for 15kHz is not more than 2dB. And the operating SNR gap between 10MHz and 100MHz for 30kHz is not more than 1dB</w:t>
      </w:r>
      <w:bookmarkEnd w:id="9"/>
      <w:bookmarkEnd w:id="10"/>
      <w:bookmarkStart w:id="13" w:name="OLE_LINK11"/>
      <w:bookmarkStart w:id="14" w:name="OLE_LINK28"/>
      <w:r>
        <w:rPr>
          <w:rFonts w:hint="eastAsia"/>
          <w:lang w:val="en-US" w:eastAsia="zh-CN"/>
        </w:rPr>
        <w:t>. Therefore the BW of 20MHz for 15kHz SCS and the BW of 40MHz for 30kHz SCS is not necessary.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eastAsia="宋体" w:cs="Times New Roman"/>
          <w:b/>
          <w:sz w:val="20"/>
          <w:szCs w:val="20"/>
          <w:lang w:val="en-US" w:eastAsia="zh-CN"/>
        </w:rPr>
      </w:pPr>
      <w:r>
        <w:rPr>
          <w:rFonts w:hint="eastAsia" w:eastAsia="宋体"/>
          <w:b/>
          <w:sz w:val="20"/>
          <w:szCs w:val="20"/>
          <w:lang w:val="en-US" w:eastAsia="zh-CN"/>
        </w:rPr>
        <w:t xml:space="preserve">Proposal 1: To </w:t>
      </w:r>
      <w:r>
        <w:rPr>
          <w:rFonts w:hint="eastAsia"/>
          <w:b/>
          <w:sz w:val="20"/>
          <w:szCs w:val="20"/>
          <w:lang w:val="en-US" w:eastAsia="zh-CN"/>
        </w:rPr>
        <w:t>use only 5MHz and 50MHz BW for requirements definition of 15kHz SCS, and only 10MHz and 100MHz for requirements definition of 30kHz SCS.</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default" w:eastAsia="宋体"/>
          <w:b/>
          <w:bCs/>
          <w:u w:val="single"/>
          <w:lang w:val="en-US" w:eastAsia="zh-CN" w:bidi="hi-IN"/>
        </w:rPr>
      </w:pPr>
      <w:r>
        <w:rPr>
          <w:rFonts w:hint="eastAsia" w:eastAsia="宋体"/>
          <w:b/>
          <w:bCs/>
          <w:u w:val="single"/>
          <w:lang w:val="en-US" w:eastAsia="zh-CN" w:bidi="hi-IN"/>
        </w:rPr>
        <w:t>2.</w:t>
      </w:r>
      <w:r>
        <w:rPr>
          <w:rFonts w:hint="eastAsia"/>
          <w:b/>
          <w:bCs/>
          <w:u w:val="single"/>
          <w:lang w:val="en-US" w:eastAsia="zh-CN" w:bidi="hi-IN"/>
        </w:rPr>
        <w:t>2</w:t>
      </w:r>
      <w:r>
        <w:rPr>
          <w:rFonts w:hint="eastAsia" w:eastAsia="宋体"/>
          <w:b/>
          <w:bCs/>
          <w:u w:val="single"/>
          <w:lang w:val="en-US" w:eastAsia="zh-CN" w:bidi="hi-IN"/>
        </w:rPr>
        <w:t xml:space="preserve"> </w:t>
      </w:r>
      <w:r>
        <w:rPr>
          <w:rFonts w:hint="eastAsia"/>
          <w:b/>
          <w:bCs/>
          <w:u w:val="single"/>
          <w:lang w:val="en-US" w:eastAsia="zh-CN" w:bidi="hi-IN"/>
        </w:rPr>
        <w:t>Applicability rule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sz w:val="20"/>
          <w:szCs w:val="20"/>
          <w:lang w:val="en-US" w:eastAsia="zh-CN"/>
        </w:rPr>
      </w:pPr>
      <w:r>
        <w:rPr>
          <w:rFonts w:hint="eastAsia"/>
          <w:lang w:val="en-US" w:eastAsia="zh-CN"/>
        </w:rPr>
        <w:t>It was agreed to consider the following options for 4Tx applicability rule</w:t>
      </w:r>
      <w:r>
        <w:rPr>
          <w:rFonts w:hint="eastAsia"/>
          <w:b/>
          <w:sz w:val="20"/>
          <w:szCs w:val="20"/>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lang w:eastAsia="ko-KR"/>
              </w:rPr>
            </w:pPr>
            <w:r>
              <w:rPr>
                <w:b/>
                <w:u w:val="single"/>
                <w:lang w:eastAsia="ko-KR"/>
              </w:rPr>
              <w:t>Issue 1-1-6: Applicability rule</w:t>
            </w:r>
          </w:p>
          <w:p>
            <w:pPr>
              <w:overflowPunct w:val="0"/>
              <w:autoSpaceDE w:val="0"/>
              <w:autoSpaceDN w:val="0"/>
              <w:adjustRightInd w:val="0"/>
              <w:spacing w:after="180"/>
              <w:textAlignment w:val="baseline"/>
              <w:rPr>
                <w:lang w:eastAsia="zh-CN"/>
              </w:rPr>
            </w:pPr>
            <w:r>
              <w:rPr>
                <w:b/>
                <w:bCs/>
                <w:lang w:eastAsia="zh-CN"/>
              </w:rPr>
              <w:t>Way forward:</w:t>
            </w:r>
            <w:r>
              <w:rPr>
                <w:lang w:eastAsia="zh-CN"/>
              </w:rPr>
              <w:t xml:space="preserve"> </w:t>
            </w:r>
          </w:p>
          <w:p>
            <w:pPr>
              <w:pStyle w:val="32"/>
              <w:numPr>
                <w:ilvl w:val="0"/>
                <w:numId w:val="8"/>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1: </w:t>
            </w:r>
          </w:p>
          <w:p>
            <w:pPr>
              <w:pStyle w:val="32"/>
              <w:overflowPunct/>
              <w:autoSpaceDE/>
              <w:autoSpaceDN/>
              <w:adjustRightInd/>
              <w:spacing w:after="120"/>
              <w:ind w:left="656" w:firstLine="0" w:firstLineChars="0"/>
              <w:textAlignment w:val="auto"/>
              <w:rPr>
                <w:rFonts w:eastAsia="宋体"/>
              </w:rPr>
            </w:pPr>
            <w:r>
              <w:t>Unless otherwise stated,</w:t>
            </w:r>
            <w:r>
              <w:rPr>
                <w:rFonts w:hint="eastAsia" w:eastAsia="宋体"/>
              </w:rPr>
              <w:t xml:space="preserve"> </w:t>
            </w:r>
            <w:r>
              <w:t xml:space="preserve">for </w:t>
            </w:r>
            <w:r>
              <w:rPr>
                <w:rFonts w:eastAsia="宋体"/>
              </w:rPr>
              <w:t>a BS support</w:t>
            </w:r>
            <w:r>
              <w:rPr>
                <w:rFonts w:hint="eastAsia" w:eastAsia="宋体"/>
              </w:rPr>
              <w:t>ing</w:t>
            </w:r>
            <w:r>
              <w:rPr>
                <w:rFonts w:eastAsia="宋体"/>
              </w:rPr>
              <w:t xml:space="preserve"> </w:t>
            </w:r>
            <w:r>
              <w:rPr>
                <w:rFonts w:hint="eastAsia" w:eastAsia="宋体"/>
              </w:rPr>
              <w:t>different numbers of</w:t>
            </w:r>
            <w:r>
              <w:rPr>
                <w:rFonts w:eastAsia="宋体"/>
              </w:rPr>
              <w:t xml:space="preserve"> </w:t>
            </w:r>
            <w:r>
              <w:t xml:space="preserve">antenna connectors (for </w:t>
            </w:r>
            <w:r>
              <w:rPr>
                <w:i/>
              </w:rPr>
              <w:t>BS type 1-C</w:t>
            </w:r>
            <w:r>
              <w:t xml:space="preserve">) or </w:t>
            </w:r>
            <w:r>
              <w:rPr>
                <w:i/>
              </w:rPr>
              <w:t>TAB connectors</w:t>
            </w:r>
            <w:r>
              <w:t xml:space="preserve"> (for </w:t>
            </w:r>
            <w:r>
              <w:rPr>
                <w:i/>
              </w:rPr>
              <w:t>BS type 1-H</w:t>
            </w:r>
            <w:r>
              <w:t>) (see D.37 in table 4.6-1),</w:t>
            </w:r>
            <w:r>
              <w:rPr>
                <w:rFonts w:hint="eastAsia" w:eastAsia="宋体"/>
              </w:rPr>
              <w:t xml:space="preserve"> the </w:t>
            </w:r>
            <w:r>
              <w:rPr>
                <w:rFonts w:eastAsia="宋体"/>
              </w:rPr>
              <w:t xml:space="preserve">4 Tx antenna </w:t>
            </w:r>
            <w:r>
              <w:rPr>
                <w:rFonts w:hint="eastAsia" w:eastAsia="宋体"/>
              </w:rPr>
              <w:t xml:space="preserve">tests with </w:t>
            </w:r>
            <w:r>
              <w:rPr>
                <w:rFonts w:eastAsia="宋体"/>
              </w:rPr>
              <w:t>low</w:t>
            </w:r>
            <w:r>
              <w:rPr>
                <w:rFonts w:hint="eastAsia" w:eastAsia="宋体"/>
              </w:rPr>
              <w:t xml:space="preserve"> MIMO</w:t>
            </w:r>
            <w:r>
              <w:rPr>
                <w:rFonts w:eastAsia="宋体"/>
              </w:rPr>
              <w:t xml:space="preserve"> correlation level</w:t>
            </w:r>
            <w:r>
              <w:t xml:space="preserve"> shall apply only for</w:t>
            </w:r>
            <w:r>
              <w:rPr>
                <w:rFonts w:hint="eastAsia" w:eastAsia="宋体"/>
              </w:rPr>
              <w:t xml:space="preserve"> </w:t>
            </w:r>
            <w:r>
              <w:rPr>
                <w:rFonts w:eastAsia="宋体"/>
              </w:rPr>
              <w:t xml:space="preserve">the 4 connectors and the highest numbers of supported </w:t>
            </w:r>
            <w:r>
              <w:t>connectors</w:t>
            </w:r>
            <w:r>
              <w:rPr>
                <w:rFonts w:eastAsia="宋体"/>
              </w:rPr>
              <w:t>, and the specific connectors used for testing are based on manufacturer declaration.</w:t>
            </w:r>
          </w:p>
          <w:p>
            <w:pPr>
              <w:pStyle w:val="32"/>
              <w:numPr>
                <w:ilvl w:val="0"/>
                <w:numId w:val="8"/>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w:t>
            </w:r>
          </w:p>
          <w:p>
            <w:pPr>
              <w:pStyle w:val="32"/>
              <w:overflowPunct/>
              <w:autoSpaceDE/>
              <w:autoSpaceDN/>
              <w:adjustRightInd/>
              <w:spacing w:after="120"/>
              <w:ind w:left="936" w:firstLine="0" w:firstLineChars="0"/>
              <w:textAlignment w:val="auto"/>
              <w:rPr>
                <w:rFonts w:hint="default"/>
                <w:b/>
                <w:sz w:val="20"/>
                <w:szCs w:val="20"/>
                <w:vertAlign w:val="baseline"/>
                <w:lang w:val="en-US" w:eastAsia="zh-CN"/>
              </w:rPr>
            </w:pPr>
            <w:r>
              <w:rPr>
                <w:sz w:val="22"/>
                <w:szCs w:val="22"/>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lang w:val="en-US" w:eastAsia="zh-CN"/>
        </w:rPr>
      </w:pPr>
      <w:r>
        <w:rPr>
          <w:rFonts w:hint="default"/>
          <w:lang w:val="en-US" w:eastAsia="zh-CN"/>
        </w:rPr>
        <w:t xml:space="preserve">For the above two options, option 1 is more </w:t>
      </w:r>
      <w:r>
        <w:rPr>
          <w:rFonts w:hint="eastAsia"/>
          <w:lang w:val="en-US" w:eastAsia="zh-CN"/>
        </w:rPr>
        <w:t>preferred</w:t>
      </w:r>
      <w:r>
        <w:rPr>
          <w:rFonts w:hint="default"/>
          <w:lang w:val="en-US" w:eastAsia="zh-CN"/>
        </w:rPr>
        <w:t xml:space="preserve"> </w:t>
      </w:r>
      <w:r>
        <w:rPr>
          <w:rFonts w:hint="eastAsia"/>
          <w:lang w:val="en-US" w:eastAsia="zh-CN"/>
        </w:rPr>
        <w:t>as</w:t>
      </w:r>
      <w:r>
        <w:rPr>
          <w:rFonts w:hint="default"/>
          <w:lang w:val="en-US" w:eastAsia="zh-CN"/>
        </w:rPr>
        <w:t xml:space="preserve"> </w:t>
      </w:r>
      <w:r>
        <w:rPr>
          <w:rFonts w:hint="eastAsia"/>
          <w:lang w:val="en-US" w:eastAsia="zh-CN"/>
        </w:rPr>
        <w:t xml:space="preserve">there may be two antenna configurations to be tested, one is 4 connectors, and the other is a number of </w:t>
      </w:r>
      <w:r>
        <w:t>connectors</w:t>
      </w:r>
      <w:r>
        <w:rPr>
          <w:rFonts w:hint="eastAsia"/>
          <w:lang w:val="en-US" w:eastAsia="zh-CN"/>
        </w:rPr>
        <w:t xml:space="preserve"> larger than 4, such as 8 </w:t>
      </w:r>
      <w:r>
        <w:t>connectors</w:t>
      </w:r>
      <w:r>
        <w:rPr>
          <w:rFonts w:hint="eastAsia"/>
          <w:lang w:val="en-US" w:eastAsia="zh-CN"/>
        </w:rPr>
        <w:t>. This description is closer to the application rule of TS 38.141.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lang w:val="en-US" w:eastAsia="zh-CN"/>
        </w:rPr>
      </w:pPr>
      <w:r>
        <w:rPr>
          <w:rFonts w:hint="eastAsia" w:eastAsia="宋体"/>
          <w:b/>
          <w:sz w:val="20"/>
          <w:szCs w:val="20"/>
          <w:lang w:val="en-US" w:eastAsia="zh-CN"/>
        </w:rPr>
        <w:t xml:space="preserve">Proposal </w:t>
      </w:r>
      <w:r>
        <w:rPr>
          <w:rFonts w:hint="eastAsia"/>
          <w:b/>
          <w:sz w:val="20"/>
          <w:szCs w:val="20"/>
          <w:lang w:val="en-US" w:eastAsia="zh-CN"/>
        </w:rPr>
        <w:t>2</w:t>
      </w:r>
      <w:r>
        <w:rPr>
          <w:rFonts w:hint="eastAsia" w:eastAsia="宋体"/>
          <w:b/>
          <w:sz w:val="20"/>
          <w:szCs w:val="20"/>
          <w:lang w:val="en-US" w:eastAsia="zh-CN"/>
        </w:rPr>
        <w:t xml:space="preserve">: To </w:t>
      </w:r>
      <w:r>
        <w:rPr>
          <w:rFonts w:hint="eastAsia"/>
          <w:b/>
          <w:sz w:val="20"/>
          <w:szCs w:val="20"/>
          <w:lang w:val="en-US" w:eastAsia="zh-CN"/>
        </w:rPr>
        <w:t>consider option 1 as the applicability rule of 4Tx.</w:t>
      </w:r>
    </w:p>
    <w:bookmarkEnd w:id="11"/>
    <w:bookmarkEnd w:id="12"/>
    <w:bookmarkEnd w:id="13"/>
    <w:bookmarkEnd w:id="14"/>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bCs/>
          <w:kern w:val="0"/>
          <w:szCs w:val="21"/>
        </w:rPr>
      </w:pPr>
      <w:r>
        <w:rPr>
          <w:rFonts w:hint="eastAsia"/>
          <w:sz w:val="20"/>
        </w:rPr>
        <w:t xml:space="preserve">In this contribution, we give some </w:t>
      </w:r>
      <w:r>
        <w:rPr>
          <w:rFonts w:hint="eastAsia"/>
          <w:sz w:val="20"/>
          <w:lang w:val="en-US" w:eastAsia="zh-CN"/>
        </w:rPr>
        <w:t>conclusion</w:t>
      </w:r>
      <w:r>
        <w:rPr>
          <w:rFonts w:hint="eastAsia"/>
          <w:sz w:val="20"/>
        </w:rPr>
        <w:t xml:space="preserve"> for</w:t>
      </w:r>
      <w:r>
        <w:rPr>
          <w:rFonts w:hint="eastAsia"/>
          <w:sz w:val="20"/>
          <w:lang w:val="en-US" w:eastAsia="zh-CN"/>
        </w:rPr>
        <w:t xml:space="preserve"> </w:t>
      </w:r>
      <w:r>
        <w:rPr>
          <w:rFonts w:hint="eastAsia"/>
          <w:sz w:val="20"/>
        </w:rPr>
        <w:t>4Tx of NR_ENDC_RF_FR1_enh2</w:t>
      </w:r>
      <w:r>
        <w:rPr>
          <w:rFonts w:hint="eastAsia"/>
          <w:sz w:val="20"/>
          <w:lang w:val="en-US" w:eastAsia="zh-CN"/>
        </w:rPr>
        <w:t xml:space="preserve"> </w:t>
      </w:r>
      <w:r>
        <w:rPr>
          <w:rFonts w:hint="eastAsia"/>
          <w:bCs/>
          <w:kern w:val="0"/>
          <w:szCs w:val="21"/>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eastAsia="宋体" w:cs="Times New Roman"/>
          <w:b/>
          <w:sz w:val="20"/>
          <w:szCs w:val="20"/>
          <w:lang w:val="en-US" w:eastAsia="zh-CN"/>
        </w:rPr>
      </w:pPr>
      <w:r>
        <w:rPr>
          <w:rFonts w:hint="eastAsia" w:eastAsia="宋体"/>
          <w:b/>
          <w:sz w:val="20"/>
          <w:szCs w:val="20"/>
          <w:lang w:val="en-US" w:eastAsia="zh-CN"/>
        </w:rPr>
        <w:t xml:space="preserve">Proposal 1: To </w:t>
      </w:r>
      <w:r>
        <w:rPr>
          <w:rFonts w:hint="eastAsia"/>
          <w:b/>
          <w:sz w:val="20"/>
          <w:szCs w:val="20"/>
          <w:lang w:val="en-US" w:eastAsia="zh-CN"/>
        </w:rPr>
        <w:t>use only 5MHz and 50MHz BW for requirements definition of 15kHz SCS, and only 10MHz and 100MHz for requirements definition of 30kHz SCS.</w:t>
      </w:r>
    </w:p>
    <w:p>
      <w:pPr>
        <w:pStyle w:val="62"/>
        <w:keepLines w:val="0"/>
        <w:widowControl w:val="0"/>
        <w:spacing w:before="120" w:after="120"/>
        <w:ind w:left="0" w:firstLine="0"/>
        <w:rPr>
          <w:lang w:val="en-US" w:eastAsia="zh-CN"/>
        </w:rPr>
      </w:pPr>
      <w:r>
        <w:rPr>
          <w:rFonts w:hint="eastAsia" w:eastAsia="宋体"/>
          <w:b/>
          <w:sz w:val="20"/>
          <w:szCs w:val="20"/>
          <w:lang w:val="en-US" w:eastAsia="zh-CN"/>
        </w:rPr>
        <w:t xml:space="preserve">Proposal </w:t>
      </w:r>
      <w:r>
        <w:rPr>
          <w:rFonts w:hint="eastAsia"/>
          <w:b/>
          <w:sz w:val="20"/>
          <w:szCs w:val="20"/>
          <w:lang w:val="en-US" w:eastAsia="zh-CN"/>
        </w:rPr>
        <w:t>2</w:t>
      </w:r>
      <w:r>
        <w:rPr>
          <w:rFonts w:hint="eastAsia" w:eastAsia="宋体"/>
          <w:b/>
          <w:sz w:val="20"/>
          <w:szCs w:val="20"/>
          <w:lang w:val="en-US" w:eastAsia="zh-CN"/>
        </w:rPr>
        <w:t xml:space="preserve">: To </w:t>
      </w:r>
      <w:r>
        <w:rPr>
          <w:rFonts w:hint="eastAsia"/>
          <w:b/>
          <w:sz w:val="20"/>
          <w:szCs w:val="20"/>
          <w:lang w:val="en-US" w:eastAsia="zh-CN"/>
        </w:rPr>
        <w:t>consider option 1 as the applicability rule of 4Tx.</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Lines="0" w:afterLines="0" w:line="240" w:lineRule="auto"/>
        <w:jc w:val="left"/>
        <w:textAlignment w:val="auto"/>
        <w:rPr>
          <w:rFonts w:hint="eastAsia"/>
          <w:sz w:val="20"/>
        </w:rPr>
      </w:pPr>
      <w:r>
        <w:rPr>
          <w:rFonts w:hint="eastAsia"/>
          <w:sz w:val="20"/>
        </w:rPr>
        <w:t xml:space="preserve">[1] </w:t>
      </w:r>
      <w:bookmarkStart w:id="15" w:name="OLE_LINK32"/>
      <w:r>
        <w:rPr>
          <w:rFonts w:hint="eastAsia"/>
          <w:sz w:val="20"/>
          <w:lang w:val="en-US" w:eastAsia="zh-CN"/>
        </w:rPr>
        <w:t xml:space="preserve"> </w:t>
      </w:r>
      <w:r>
        <w:rPr>
          <w:rFonts w:hint="eastAsia"/>
          <w:sz w:val="20"/>
        </w:rPr>
        <w:t>RP-223478 Revised WID Rel-18 NR_ENDC_ RF_FR1_enh2</w:t>
      </w:r>
      <w:r>
        <w:rPr>
          <w:rFonts w:hint="eastAsia"/>
          <w:sz w:val="20"/>
          <w:lang w:val="en-US" w:eastAsia="zh-CN"/>
        </w:rPr>
        <w:t xml:space="preserve">, </w:t>
      </w:r>
      <w:r>
        <w:rPr>
          <w:rFonts w:hint="eastAsia"/>
          <w:sz w:val="20"/>
        </w:rPr>
        <w:t>Huawei, HiSilicon, NTT DOCOMO</w:t>
      </w:r>
      <w:bookmarkEnd w:id="15"/>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Lines="0" w:afterLines="0" w:line="240" w:lineRule="auto"/>
        <w:jc w:val="left"/>
        <w:textAlignment w:val="auto"/>
        <w:rPr>
          <w:rFonts w:hint="default" w:eastAsia="宋体"/>
          <w:sz w:val="20"/>
          <w:lang w:val="en-US" w:eastAsia="zh-CN"/>
        </w:rPr>
      </w:pPr>
      <w:r>
        <w:rPr>
          <w:rFonts w:hint="eastAsia"/>
          <w:sz w:val="20"/>
          <w:lang w:val="en-US" w:eastAsia="zh-CN"/>
        </w:rPr>
        <w:t>[2]  R4-2305890 WF on FR1 4Tx demodulation requirement, Ericsson</w:t>
      </w:r>
    </w:p>
    <w:p>
      <w:pPr>
        <w:widowControl w:val="0"/>
        <w:tabs>
          <w:tab w:val="left" w:pos="90"/>
          <w:tab w:val="left" w:pos="1868"/>
          <w:tab w:val="right" w:pos="10648"/>
        </w:tabs>
        <w:spacing w:beforeLines="0" w:afterLines="0" w:line="260" w:lineRule="auto"/>
        <w:jc w:val="left"/>
        <w:rPr>
          <w:rFonts w:hint="eastAsia"/>
          <w:sz w:val="20"/>
        </w:rPr>
      </w:pPr>
    </w:p>
    <w:p>
      <w:pPr>
        <w:widowControl w:val="0"/>
        <w:tabs>
          <w:tab w:val="left" w:pos="90"/>
          <w:tab w:val="left" w:pos="1868"/>
          <w:tab w:val="right" w:pos="10648"/>
        </w:tabs>
        <w:spacing w:beforeLines="0" w:afterLines="0" w:line="260" w:lineRule="auto"/>
        <w:jc w:val="left"/>
        <w:rPr>
          <w:rFonts w:hint="eastAsia"/>
          <w:sz w:val="20"/>
        </w:rPr>
      </w:pPr>
    </w:p>
    <w:p>
      <w:pPr>
        <w:keepNext/>
        <w:keepLines/>
        <w:widowControl w:val="0"/>
        <w:pBdr>
          <w:top w:val="single" w:color="auto" w:sz="12" w:space="3"/>
        </w:pBdr>
        <w:spacing w:beforeLines="0" w:afterLines="0"/>
        <w:jc w:val="left"/>
        <w:outlineLvl w:val="0"/>
        <w:rPr>
          <w:rFonts w:hint="default" w:ascii="Times New Roman" w:hAnsi="Times New Roman" w:eastAsia="宋体" w:cs="Times New Roman"/>
          <w:b/>
          <w:kern w:val="0"/>
          <w:sz w:val="24"/>
          <w:szCs w:val="24"/>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05F1C8C"/>
    <w:multiLevelType w:val="multilevel"/>
    <w:tmpl w:val="505F1C8C"/>
    <w:lvl w:ilvl="0" w:tentative="0">
      <w:start w:val="1"/>
      <w:numFmt w:val="bullet"/>
      <w:lvlText w:val="•"/>
      <w:lvlJc w:val="left"/>
      <w:pPr>
        <w:tabs>
          <w:tab w:val="left" w:pos="360"/>
        </w:tabs>
        <w:ind w:left="360" w:hanging="360"/>
      </w:pPr>
      <w:rPr>
        <w:rFonts w:hint="default" w:ascii="Arial" w:hAnsi="Arial"/>
      </w:rPr>
    </w:lvl>
    <w:lvl w:ilvl="1"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Times New Roman" w:hAnsi="Times New Roman" w:eastAsia="Times New Roman" w:cs="Times New Roman"/>
        <w:b w:val="0"/>
        <w:i/>
        <w:iCs/>
        <w:strike w:val="0"/>
        <w:dstrike w:val="0"/>
        <w:color w:val="000000"/>
        <w:sz w:val="22"/>
        <w:szCs w:val="22"/>
        <w:u w:val="none" w:color="000000"/>
        <w:shd w:val="clear" w:color="auto" w:fill="auto"/>
        <w:vertAlign w:val="baseline"/>
      </w:rPr>
    </w:lvl>
    <w:lvl w:ilvl="3" w:tentative="0">
      <w:start w:val="1686"/>
      <w:numFmt w:val="bullet"/>
      <w:lvlText w:val="–"/>
      <w:lvlJc w:val="left"/>
      <w:pPr>
        <w:tabs>
          <w:tab w:val="left" w:pos="2520"/>
        </w:tabs>
        <w:ind w:left="2520" w:hanging="360"/>
      </w:pPr>
      <w:rPr>
        <w:rFonts w:hint="default" w:ascii="Arial" w:hAnsi="Arial"/>
      </w:rPr>
    </w:lvl>
    <w:lvl w:ilvl="4" w:tentative="0">
      <w:start w:val="1686"/>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BB5167"/>
    <w:rsid w:val="01C00B7B"/>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B0647"/>
    <w:rsid w:val="030B2860"/>
    <w:rsid w:val="030C40C1"/>
    <w:rsid w:val="030D2F0B"/>
    <w:rsid w:val="033C68CE"/>
    <w:rsid w:val="03445E8F"/>
    <w:rsid w:val="03496C64"/>
    <w:rsid w:val="035154D3"/>
    <w:rsid w:val="035251F8"/>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57AF8"/>
    <w:rsid w:val="03E84DE8"/>
    <w:rsid w:val="04030035"/>
    <w:rsid w:val="04251A4C"/>
    <w:rsid w:val="042D2E97"/>
    <w:rsid w:val="04305EA0"/>
    <w:rsid w:val="04310833"/>
    <w:rsid w:val="04343921"/>
    <w:rsid w:val="043865BF"/>
    <w:rsid w:val="043A14AD"/>
    <w:rsid w:val="044B19B3"/>
    <w:rsid w:val="044C78D8"/>
    <w:rsid w:val="04537B11"/>
    <w:rsid w:val="04684A28"/>
    <w:rsid w:val="046C0EAE"/>
    <w:rsid w:val="04782230"/>
    <w:rsid w:val="0479507E"/>
    <w:rsid w:val="04894975"/>
    <w:rsid w:val="04A65723"/>
    <w:rsid w:val="04A65EB3"/>
    <w:rsid w:val="04B14B03"/>
    <w:rsid w:val="04B8353C"/>
    <w:rsid w:val="04D739DC"/>
    <w:rsid w:val="04DA1A87"/>
    <w:rsid w:val="04DE2DA3"/>
    <w:rsid w:val="04EB6DF8"/>
    <w:rsid w:val="04FF1C94"/>
    <w:rsid w:val="04FF7D5A"/>
    <w:rsid w:val="05010CF8"/>
    <w:rsid w:val="0502349F"/>
    <w:rsid w:val="050E7487"/>
    <w:rsid w:val="05161D2D"/>
    <w:rsid w:val="0522500E"/>
    <w:rsid w:val="052E568F"/>
    <w:rsid w:val="053973F0"/>
    <w:rsid w:val="053E65E7"/>
    <w:rsid w:val="0555228E"/>
    <w:rsid w:val="055A42CC"/>
    <w:rsid w:val="057D1D66"/>
    <w:rsid w:val="058A1B21"/>
    <w:rsid w:val="059D265F"/>
    <w:rsid w:val="05B92EC1"/>
    <w:rsid w:val="05C45888"/>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C13A8"/>
    <w:rsid w:val="073D143C"/>
    <w:rsid w:val="074855FD"/>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1C61DE"/>
    <w:rsid w:val="08234820"/>
    <w:rsid w:val="08341060"/>
    <w:rsid w:val="08655F49"/>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8143BC"/>
    <w:rsid w:val="098500F1"/>
    <w:rsid w:val="099B782B"/>
    <w:rsid w:val="099E32BA"/>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D542C1"/>
    <w:rsid w:val="0ADD5A20"/>
    <w:rsid w:val="0AE10FD9"/>
    <w:rsid w:val="0AF13898"/>
    <w:rsid w:val="0AFB3228"/>
    <w:rsid w:val="0AFC6C07"/>
    <w:rsid w:val="0B0025CC"/>
    <w:rsid w:val="0B0250FD"/>
    <w:rsid w:val="0B053D31"/>
    <w:rsid w:val="0B0F025C"/>
    <w:rsid w:val="0B1A6333"/>
    <w:rsid w:val="0B1B0D67"/>
    <w:rsid w:val="0B2713F4"/>
    <w:rsid w:val="0B3D701F"/>
    <w:rsid w:val="0B3E7DD7"/>
    <w:rsid w:val="0B561995"/>
    <w:rsid w:val="0B5C2C2A"/>
    <w:rsid w:val="0B665E0A"/>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6498D"/>
    <w:rsid w:val="0CD87ABE"/>
    <w:rsid w:val="0CE26C42"/>
    <w:rsid w:val="0CE632FF"/>
    <w:rsid w:val="0CE76B48"/>
    <w:rsid w:val="0CEB5DBE"/>
    <w:rsid w:val="0CF06BF8"/>
    <w:rsid w:val="0CF176AC"/>
    <w:rsid w:val="0CFB523A"/>
    <w:rsid w:val="0D1B1E9C"/>
    <w:rsid w:val="0D3D71E5"/>
    <w:rsid w:val="0D4B44A1"/>
    <w:rsid w:val="0D6811B4"/>
    <w:rsid w:val="0D6E2620"/>
    <w:rsid w:val="0D704E21"/>
    <w:rsid w:val="0D7950B1"/>
    <w:rsid w:val="0D7F48FE"/>
    <w:rsid w:val="0D883C88"/>
    <w:rsid w:val="0D936E72"/>
    <w:rsid w:val="0D966BF7"/>
    <w:rsid w:val="0DAE4595"/>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9F7059"/>
    <w:rsid w:val="0EA40C1C"/>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E4958"/>
    <w:rsid w:val="0F9F6FA4"/>
    <w:rsid w:val="0FA65D5C"/>
    <w:rsid w:val="0FAD33DA"/>
    <w:rsid w:val="0FBE2A42"/>
    <w:rsid w:val="0FC17CCE"/>
    <w:rsid w:val="0FC424B9"/>
    <w:rsid w:val="0FD70565"/>
    <w:rsid w:val="0FEC680C"/>
    <w:rsid w:val="0FF01787"/>
    <w:rsid w:val="10007AD6"/>
    <w:rsid w:val="10043420"/>
    <w:rsid w:val="101B1E8A"/>
    <w:rsid w:val="101C4A03"/>
    <w:rsid w:val="101D0C86"/>
    <w:rsid w:val="102747A4"/>
    <w:rsid w:val="103F19C7"/>
    <w:rsid w:val="104A023B"/>
    <w:rsid w:val="104C0238"/>
    <w:rsid w:val="10505F3B"/>
    <w:rsid w:val="106D2686"/>
    <w:rsid w:val="107C3E2C"/>
    <w:rsid w:val="107D41AE"/>
    <w:rsid w:val="108C2479"/>
    <w:rsid w:val="10C715C5"/>
    <w:rsid w:val="10D335EF"/>
    <w:rsid w:val="10E746EA"/>
    <w:rsid w:val="10E83FE0"/>
    <w:rsid w:val="10EC3168"/>
    <w:rsid w:val="10F52718"/>
    <w:rsid w:val="113A51DD"/>
    <w:rsid w:val="114028DC"/>
    <w:rsid w:val="1141355F"/>
    <w:rsid w:val="116B485A"/>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74B45"/>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C40FE"/>
    <w:rsid w:val="130E3629"/>
    <w:rsid w:val="130F03EB"/>
    <w:rsid w:val="131A4B0F"/>
    <w:rsid w:val="131B39DD"/>
    <w:rsid w:val="13283BA4"/>
    <w:rsid w:val="13332F77"/>
    <w:rsid w:val="13334E1C"/>
    <w:rsid w:val="13346EE4"/>
    <w:rsid w:val="13384952"/>
    <w:rsid w:val="133A4651"/>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013C3"/>
    <w:rsid w:val="1424615D"/>
    <w:rsid w:val="142C143A"/>
    <w:rsid w:val="142E1345"/>
    <w:rsid w:val="145103FA"/>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2F50B9"/>
    <w:rsid w:val="18334194"/>
    <w:rsid w:val="183E1D37"/>
    <w:rsid w:val="184D0787"/>
    <w:rsid w:val="185D1883"/>
    <w:rsid w:val="185E3AA1"/>
    <w:rsid w:val="18812331"/>
    <w:rsid w:val="18816F1C"/>
    <w:rsid w:val="18853F3E"/>
    <w:rsid w:val="18956393"/>
    <w:rsid w:val="189859AD"/>
    <w:rsid w:val="18A8582C"/>
    <w:rsid w:val="18B50543"/>
    <w:rsid w:val="18B60776"/>
    <w:rsid w:val="18BA209C"/>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A2059"/>
    <w:rsid w:val="19B30945"/>
    <w:rsid w:val="19B46E10"/>
    <w:rsid w:val="19B6536F"/>
    <w:rsid w:val="19C456C1"/>
    <w:rsid w:val="19F061A1"/>
    <w:rsid w:val="1A054259"/>
    <w:rsid w:val="1A072835"/>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A6284"/>
    <w:rsid w:val="1BFE5FF9"/>
    <w:rsid w:val="1BFF6B42"/>
    <w:rsid w:val="1C013494"/>
    <w:rsid w:val="1C053414"/>
    <w:rsid w:val="1C132CB9"/>
    <w:rsid w:val="1C1642A1"/>
    <w:rsid w:val="1C1E4608"/>
    <w:rsid w:val="1C273D33"/>
    <w:rsid w:val="1C4032AB"/>
    <w:rsid w:val="1C4672ED"/>
    <w:rsid w:val="1C467AB6"/>
    <w:rsid w:val="1C6277A9"/>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3B4937"/>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3218E8"/>
    <w:rsid w:val="1F3E662A"/>
    <w:rsid w:val="1F4B46FD"/>
    <w:rsid w:val="1F4F2219"/>
    <w:rsid w:val="1F5353B6"/>
    <w:rsid w:val="1F614D01"/>
    <w:rsid w:val="1F721405"/>
    <w:rsid w:val="1F825709"/>
    <w:rsid w:val="1F935819"/>
    <w:rsid w:val="1FA6556D"/>
    <w:rsid w:val="1FAF2571"/>
    <w:rsid w:val="1FC55EDA"/>
    <w:rsid w:val="1FCE593C"/>
    <w:rsid w:val="1FE312AC"/>
    <w:rsid w:val="1FEC5915"/>
    <w:rsid w:val="1FED32EF"/>
    <w:rsid w:val="200F0830"/>
    <w:rsid w:val="201E6D7C"/>
    <w:rsid w:val="20446081"/>
    <w:rsid w:val="204852AD"/>
    <w:rsid w:val="204B330F"/>
    <w:rsid w:val="204E6676"/>
    <w:rsid w:val="205A5AA0"/>
    <w:rsid w:val="20773A28"/>
    <w:rsid w:val="208115A6"/>
    <w:rsid w:val="208574F4"/>
    <w:rsid w:val="208C4449"/>
    <w:rsid w:val="208F6BAF"/>
    <w:rsid w:val="20A462BA"/>
    <w:rsid w:val="20AE7AC3"/>
    <w:rsid w:val="20BF2AAC"/>
    <w:rsid w:val="20C849C7"/>
    <w:rsid w:val="20CA6D88"/>
    <w:rsid w:val="20D325BE"/>
    <w:rsid w:val="20DF66D2"/>
    <w:rsid w:val="20EC3F2E"/>
    <w:rsid w:val="20EC7C3E"/>
    <w:rsid w:val="210548E9"/>
    <w:rsid w:val="21124D15"/>
    <w:rsid w:val="211C6B81"/>
    <w:rsid w:val="213E7119"/>
    <w:rsid w:val="21530058"/>
    <w:rsid w:val="21732704"/>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7F2D87"/>
    <w:rsid w:val="23816932"/>
    <w:rsid w:val="23972CF0"/>
    <w:rsid w:val="239C062C"/>
    <w:rsid w:val="23A9484E"/>
    <w:rsid w:val="23B32F98"/>
    <w:rsid w:val="23B84268"/>
    <w:rsid w:val="23C87251"/>
    <w:rsid w:val="23D17D7B"/>
    <w:rsid w:val="23D36D91"/>
    <w:rsid w:val="23F70BA5"/>
    <w:rsid w:val="23F93D0D"/>
    <w:rsid w:val="2405417E"/>
    <w:rsid w:val="241B5C62"/>
    <w:rsid w:val="24352A14"/>
    <w:rsid w:val="2458381E"/>
    <w:rsid w:val="245872F9"/>
    <w:rsid w:val="245943D9"/>
    <w:rsid w:val="245E6B64"/>
    <w:rsid w:val="2463385E"/>
    <w:rsid w:val="248F4B88"/>
    <w:rsid w:val="24967323"/>
    <w:rsid w:val="249D01E4"/>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6326B"/>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24563D"/>
    <w:rsid w:val="283744B4"/>
    <w:rsid w:val="283E7EC8"/>
    <w:rsid w:val="28483F46"/>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711074"/>
    <w:rsid w:val="297161D3"/>
    <w:rsid w:val="2978319A"/>
    <w:rsid w:val="29886D49"/>
    <w:rsid w:val="29897A2F"/>
    <w:rsid w:val="29A02DFF"/>
    <w:rsid w:val="29A075B4"/>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642BA5"/>
    <w:rsid w:val="2C645A43"/>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B40A9"/>
    <w:rsid w:val="2D6F3F2A"/>
    <w:rsid w:val="2D8703A1"/>
    <w:rsid w:val="2D8A3FA2"/>
    <w:rsid w:val="2D9767DC"/>
    <w:rsid w:val="2D980DDC"/>
    <w:rsid w:val="2D987372"/>
    <w:rsid w:val="2D9D0109"/>
    <w:rsid w:val="2DC66A91"/>
    <w:rsid w:val="2DC92AA1"/>
    <w:rsid w:val="2DCE5F69"/>
    <w:rsid w:val="2DD00068"/>
    <w:rsid w:val="2DDD4F0A"/>
    <w:rsid w:val="2DEB68E1"/>
    <w:rsid w:val="2DF42931"/>
    <w:rsid w:val="2E34792A"/>
    <w:rsid w:val="2E437E73"/>
    <w:rsid w:val="2E5034DC"/>
    <w:rsid w:val="2E572AB9"/>
    <w:rsid w:val="2E5B7370"/>
    <w:rsid w:val="2E6C0CFB"/>
    <w:rsid w:val="2E7258DC"/>
    <w:rsid w:val="2E79458E"/>
    <w:rsid w:val="2E797A78"/>
    <w:rsid w:val="2E7C6A94"/>
    <w:rsid w:val="2E8321A5"/>
    <w:rsid w:val="2E8D14A8"/>
    <w:rsid w:val="2E9F6D95"/>
    <w:rsid w:val="2EAE350B"/>
    <w:rsid w:val="2EB207EF"/>
    <w:rsid w:val="2EB20A6C"/>
    <w:rsid w:val="2EBC2287"/>
    <w:rsid w:val="2ECA3116"/>
    <w:rsid w:val="2EDD7896"/>
    <w:rsid w:val="2EEA6E65"/>
    <w:rsid w:val="2EF33C7C"/>
    <w:rsid w:val="2F00052B"/>
    <w:rsid w:val="2F0367CD"/>
    <w:rsid w:val="2F1251F2"/>
    <w:rsid w:val="2F2D445E"/>
    <w:rsid w:val="2F477108"/>
    <w:rsid w:val="2F4F6FBB"/>
    <w:rsid w:val="2F664E2B"/>
    <w:rsid w:val="2F6C7BE3"/>
    <w:rsid w:val="2F783485"/>
    <w:rsid w:val="2F7A5044"/>
    <w:rsid w:val="2F7F5C0B"/>
    <w:rsid w:val="2FA0088D"/>
    <w:rsid w:val="2FA6492D"/>
    <w:rsid w:val="2FC03679"/>
    <w:rsid w:val="2FC86676"/>
    <w:rsid w:val="2FD17A1B"/>
    <w:rsid w:val="2FD71CA4"/>
    <w:rsid w:val="2FDC4A8D"/>
    <w:rsid w:val="2FF93066"/>
    <w:rsid w:val="301A71CE"/>
    <w:rsid w:val="301E049B"/>
    <w:rsid w:val="302A4BE6"/>
    <w:rsid w:val="304478EC"/>
    <w:rsid w:val="30515C8E"/>
    <w:rsid w:val="3069301C"/>
    <w:rsid w:val="307B0C38"/>
    <w:rsid w:val="30926F91"/>
    <w:rsid w:val="30962F3E"/>
    <w:rsid w:val="30AA2585"/>
    <w:rsid w:val="30BD4C2E"/>
    <w:rsid w:val="30C16A19"/>
    <w:rsid w:val="30CB5800"/>
    <w:rsid w:val="30D32236"/>
    <w:rsid w:val="30FA7530"/>
    <w:rsid w:val="30FF2795"/>
    <w:rsid w:val="310375CD"/>
    <w:rsid w:val="31077BF1"/>
    <w:rsid w:val="310E6387"/>
    <w:rsid w:val="311611B3"/>
    <w:rsid w:val="313C313D"/>
    <w:rsid w:val="313F6DC6"/>
    <w:rsid w:val="314E236F"/>
    <w:rsid w:val="315A7A1E"/>
    <w:rsid w:val="315E0B07"/>
    <w:rsid w:val="31621F46"/>
    <w:rsid w:val="316E7CA0"/>
    <w:rsid w:val="31711550"/>
    <w:rsid w:val="317206BF"/>
    <w:rsid w:val="317932EA"/>
    <w:rsid w:val="317E5000"/>
    <w:rsid w:val="31875BB4"/>
    <w:rsid w:val="31B718F2"/>
    <w:rsid w:val="31D20051"/>
    <w:rsid w:val="31EF7EE8"/>
    <w:rsid w:val="3201404F"/>
    <w:rsid w:val="32027298"/>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62970"/>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673BD"/>
    <w:rsid w:val="380D02B1"/>
    <w:rsid w:val="38100372"/>
    <w:rsid w:val="382B1BDF"/>
    <w:rsid w:val="382E392C"/>
    <w:rsid w:val="38342E90"/>
    <w:rsid w:val="384B7332"/>
    <w:rsid w:val="385056AF"/>
    <w:rsid w:val="385474EE"/>
    <w:rsid w:val="38601D35"/>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EE27B2"/>
    <w:rsid w:val="39F36281"/>
    <w:rsid w:val="39FA0290"/>
    <w:rsid w:val="39FD376D"/>
    <w:rsid w:val="39FD6C9C"/>
    <w:rsid w:val="3A0224B9"/>
    <w:rsid w:val="3A16728B"/>
    <w:rsid w:val="3A16794C"/>
    <w:rsid w:val="3A1F6809"/>
    <w:rsid w:val="3A226969"/>
    <w:rsid w:val="3A3F47CE"/>
    <w:rsid w:val="3A4E1C5D"/>
    <w:rsid w:val="3A4F28E5"/>
    <w:rsid w:val="3A523735"/>
    <w:rsid w:val="3A557AE4"/>
    <w:rsid w:val="3A6B0F84"/>
    <w:rsid w:val="3A727435"/>
    <w:rsid w:val="3A813EA6"/>
    <w:rsid w:val="3A94055A"/>
    <w:rsid w:val="3AB00167"/>
    <w:rsid w:val="3ABF30D9"/>
    <w:rsid w:val="3AC17E3A"/>
    <w:rsid w:val="3ACB5746"/>
    <w:rsid w:val="3ACE209E"/>
    <w:rsid w:val="3ADD1594"/>
    <w:rsid w:val="3ADD2B05"/>
    <w:rsid w:val="3AE417E3"/>
    <w:rsid w:val="3AE440AF"/>
    <w:rsid w:val="3AF66D28"/>
    <w:rsid w:val="3AF7667E"/>
    <w:rsid w:val="3B113F51"/>
    <w:rsid w:val="3B192990"/>
    <w:rsid w:val="3B2D3716"/>
    <w:rsid w:val="3B307112"/>
    <w:rsid w:val="3B3E5BDD"/>
    <w:rsid w:val="3B4475EB"/>
    <w:rsid w:val="3B5A2A22"/>
    <w:rsid w:val="3B707794"/>
    <w:rsid w:val="3B7804A3"/>
    <w:rsid w:val="3B8B6A9C"/>
    <w:rsid w:val="3B8E2153"/>
    <w:rsid w:val="3B8E482A"/>
    <w:rsid w:val="3B9B2072"/>
    <w:rsid w:val="3BA03B83"/>
    <w:rsid w:val="3BB20883"/>
    <w:rsid w:val="3BC34E75"/>
    <w:rsid w:val="3BCB270F"/>
    <w:rsid w:val="3BD96AA6"/>
    <w:rsid w:val="3BED002E"/>
    <w:rsid w:val="3BF522AA"/>
    <w:rsid w:val="3BF73E90"/>
    <w:rsid w:val="3C0429BF"/>
    <w:rsid w:val="3C1A201A"/>
    <w:rsid w:val="3C276807"/>
    <w:rsid w:val="3C371D4B"/>
    <w:rsid w:val="3C3B4B9D"/>
    <w:rsid w:val="3C3B7D68"/>
    <w:rsid w:val="3C413C82"/>
    <w:rsid w:val="3C471C36"/>
    <w:rsid w:val="3C4B0140"/>
    <w:rsid w:val="3C4D66ED"/>
    <w:rsid w:val="3C5A6B66"/>
    <w:rsid w:val="3C734413"/>
    <w:rsid w:val="3C8950CB"/>
    <w:rsid w:val="3C923F62"/>
    <w:rsid w:val="3C982C18"/>
    <w:rsid w:val="3CA734F8"/>
    <w:rsid w:val="3CA95F71"/>
    <w:rsid w:val="3CC16893"/>
    <w:rsid w:val="3CC74223"/>
    <w:rsid w:val="3CC828D0"/>
    <w:rsid w:val="3CD64EC6"/>
    <w:rsid w:val="3CDB5F96"/>
    <w:rsid w:val="3CE23F49"/>
    <w:rsid w:val="3CEC39B8"/>
    <w:rsid w:val="3CF720E3"/>
    <w:rsid w:val="3CF72D6A"/>
    <w:rsid w:val="3CF86D06"/>
    <w:rsid w:val="3D00620E"/>
    <w:rsid w:val="3D035226"/>
    <w:rsid w:val="3D0738E1"/>
    <w:rsid w:val="3D316CDB"/>
    <w:rsid w:val="3D3D6BBD"/>
    <w:rsid w:val="3D450F8C"/>
    <w:rsid w:val="3D4518DD"/>
    <w:rsid w:val="3D477118"/>
    <w:rsid w:val="3D594E54"/>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051C23"/>
    <w:rsid w:val="3E136B4F"/>
    <w:rsid w:val="3E1D4B24"/>
    <w:rsid w:val="3E3A04FA"/>
    <w:rsid w:val="3E3D6B96"/>
    <w:rsid w:val="3E441C7D"/>
    <w:rsid w:val="3E490256"/>
    <w:rsid w:val="3E55739E"/>
    <w:rsid w:val="3E610D47"/>
    <w:rsid w:val="3E645B62"/>
    <w:rsid w:val="3E6C43C8"/>
    <w:rsid w:val="3E8227F0"/>
    <w:rsid w:val="3E937F82"/>
    <w:rsid w:val="3E9B4B40"/>
    <w:rsid w:val="3EB71AC8"/>
    <w:rsid w:val="3EC85E34"/>
    <w:rsid w:val="3ECF2AAC"/>
    <w:rsid w:val="3ED0424C"/>
    <w:rsid w:val="3ED07B7E"/>
    <w:rsid w:val="3ED655CD"/>
    <w:rsid w:val="3EED4B87"/>
    <w:rsid w:val="3EF31E7F"/>
    <w:rsid w:val="3EF36DF0"/>
    <w:rsid w:val="3F0236A7"/>
    <w:rsid w:val="3F035EE1"/>
    <w:rsid w:val="3F0406D4"/>
    <w:rsid w:val="3F053EF6"/>
    <w:rsid w:val="3F093188"/>
    <w:rsid w:val="3F173F6B"/>
    <w:rsid w:val="3F1E1DE8"/>
    <w:rsid w:val="3F253B0C"/>
    <w:rsid w:val="3F2C04C4"/>
    <w:rsid w:val="3F3E7C9F"/>
    <w:rsid w:val="3F416B99"/>
    <w:rsid w:val="3F4F5AD7"/>
    <w:rsid w:val="3F643908"/>
    <w:rsid w:val="3F6B75A6"/>
    <w:rsid w:val="3F8C0A49"/>
    <w:rsid w:val="3F8E7DCD"/>
    <w:rsid w:val="3F913853"/>
    <w:rsid w:val="3F9660C3"/>
    <w:rsid w:val="3F9724DD"/>
    <w:rsid w:val="3FA514FA"/>
    <w:rsid w:val="3FA827ED"/>
    <w:rsid w:val="3FB45C58"/>
    <w:rsid w:val="3FB6571A"/>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7E4307"/>
    <w:rsid w:val="408376F8"/>
    <w:rsid w:val="40861C7A"/>
    <w:rsid w:val="40901AD0"/>
    <w:rsid w:val="40A25054"/>
    <w:rsid w:val="40A325E0"/>
    <w:rsid w:val="40B7228C"/>
    <w:rsid w:val="40BD0DA1"/>
    <w:rsid w:val="40CF628B"/>
    <w:rsid w:val="40EC7D18"/>
    <w:rsid w:val="40ED11A0"/>
    <w:rsid w:val="40FD1BF0"/>
    <w:rsid w:val="40FE7A3D"/>
    <w:rsid w:val="41096BC0"/>
    <w:rsid w:val="410A75B6"/>
    <w:rsid w:val="410B452A"/>
    <w:rsid w:val="41146D26"/>
    <w:rsid w:val="413353F1"/>
    <w:rsid w:val="413A6718"/>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73D8C"/>
    <w:rsid w:val="4227435A"/>
    <w:rsid w:val="424B5824"/>
    <w:rsid w:val="42616DD3"/>
    <w:rsid w:val="426973AD"/>
    <w:rsid w:val="426F56CA"/>
    <w:rsid w:val="427A67A1"/>
    <w:rsid w:val="427E0B36"/>
    <w:rsid w:val="42A03D98"/>
    <w:rsid w:val="42A729F1"/>
    <w:rsid w:val="42B94BC1"/>
    <w:rsid w:val="42C30254"/>
    <w:rsid w:val="42C42A08"/>
    <w:rsid w:val="42C54061"/>
    <w:rsid w:val="42D064B1"/>
    <w:rsid w:val="42D41F6D"/>
    <w:rsid w:val="42D5342A"/>
    <w:rsid w:val="42DE48A3"/>
    <w:rsid w:val="42E16058"/>
    <w:rsid w:val="42F17BF5"/>
    <w:rsid w:val="42F30D8B"/>
    <w:rsid w:val="42F87EC9"/>
    <w:rsid w:val="42FA45BF"/>
    <w:rsid w:val="430E7E66"/>
    <w:rsid w:val="4332317A"/>
    <w:rsid w:val="433246A0"/>
    <w:rsid w:val="433E162C"/>
    <w:rsid w:val="433F6B54"/>
    <w:rsid w:val="4346543A"/>
    <w:rsid w:val="43533E29"/>
    <w:rsid w:val="435B1259"/>
    <w:rsid w:val="436263D5"/>
    <w:rsid w:val="437556C4"/>
    <w:rsid w:val="437A5D15"/>
    <w:rsid w:val="43874CD4"/>
    <w:rsid w:val="438D061F"/>
    <w:rsid w:val="439B699F"/>
    <w:rsid w:val="43AA418A"/>
    <w:rsid w:val="43AF2D32"/>
    <w:rsid w:val="43B76E4F"/>
    <w:rsid w:val="43CF0206"/>
    <w:rsid w:val="43D85D6D"/>
    <w:rsid w:val="43DF6B45"/>
    <w:rsid w:val="43EC6F1F"/>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32B3D"/>
    <w:rsid w:val="44957F46"/>
    <w:rsid w:val="44994CF5"/>
    <w:rsid w:val="44AD40AD"/>
    <w:rsid w:val="44DC46EB"/>
    <w:rsid w:val="44EA6491"/>
    <w:rsid w:val="44F03F8F"/>
    <w:rsid w:val="44F14ECF"/>
    <w:rsid w:val="44F8119B"/>
    <w:rsid w:val="4504328F"/>
    <w:rsid w:val="451944ED"/>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BE75C6"/>
    <w:rsid w:val="46D37F0B"/>
    <w:rsid w:val="46D71533"/>
    <w:rsid w:val="46E53335"/>
    <w:rsid w:val="46E66D66"/>
    <w:rsid w:val="47155D89"/>
    <w:rsid w:val="473069AF"/>
    <w:rsid w:val="474A0EAF"/>
    <w:rsid w:val="474E50BE"/>
    <w:rsid w:val="47696F9C"/>
    <w:rsid w:val="47714F1F"/>
    <w:rsid w:val="47725A17"/>
    <w:rsid w:val="477D3243"/>
    <w:rsid w:val="478821A1"/>
    <w:rsid w:val="479128A9"/>
    <w:rsid w:val="47975EDC"/>
    <w:rsid w:val="47983B19"/>
    <w:rsid w:val="47A3609D"/>
    <w:rsid w:val="47A837E3"/>
    <w:rsid w:val="47C01792"/>
    <w:rsid w:val="47C57A48"/>
    <w:rsid w:val="47D511B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54581"/>
    <w:rsid w:val="48A736CF"/>
    <w:rsid w:val="48B116EA"/>
    <w:rsid w:val="48B74C7A"/>
    <w:rsid w:val="48BE32BF"/>
    <w:rsid w:val="48C354EC"/>
    <w:rsid w:val="48C63EA0"/>
    <w:rsid w:val="48D429DD"/>
    <w:rsid w:val="48E01C77"/>
    <w:rsid w:val="48E22285"/>
    <w:rsid w:val="48E32BE3"/>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A756D"/>
    <w:rsid w:val="4A722B4C"/>
    <w:rsid w:val="4A785772"/>
    <w:rsid w:val="4A842E43"/>
    <w:rsid w:val="4A89105B"/>
    <w:rsid w:val="4AA341CC"/>
    <w:rsid w:val="4AC13295"/>
    <w:rsid w:val="4AC31003"/>
    <w:rsid w:val="4AC40F4C"/>
    <w:rsid w:val="4AC43783"/>
    <w:rsid w:val="4AD23CE7"/>
    <w:rsid w:val="4AD25F33"/>
    <w:rsid w:val="4ADD641F"/>
    <w:rsid w:val="4AE072CB"/>
    <w:rsid w:val="4AE93159"/>
    <w:rsid w:val="4AEE0C43"/>
    <w:rsid w:val="4AF02EA1"/>
    <w:rsid w:val="4AFA0B7E"/>
    <w:rsid w:val="4B174032"/>
    <w:rsid w:val="4B250CF8"/>
    <w:rsid w:val="4B2873FD"/>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106DE6"/>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462159"/>
    <w:rsid w:val="4D47409F"/>
    <w:rsid w:val="4D525BE3"/>
    <w:rsid w:val="4D566017"/>
    <w:rsid w:val="4D6022FC"/>
    <w:rsid w:val="4D637556"/>
    <w:rsid w:val="4D7D3EFB"/>
    <w:rsid w:val="4D882A74"/>
    <w:rsid w:val="4D8B0123"/>
    <w:rsid w:val="4DA1281F"/>
    <w:rsid w:val="4DAF14C5"/>
    <w:rsid w:val="4DB9067A"/>
    <w:rsid w:val="4DC605B6"/>
    <w:rsid w:val="4DC93E3E"/>
    <w:rsid w:val="4DD732D2"/>
    <w:rsid w:val="4DEC0985"/>
    <w:rsid w:val="4DED0427"/>
    <w:rsid w:val="4E0538A3"/>
    <w:rsid w:val="4E0E6818"/>
    <w:rsid w:val="4E2603A1"/>
    <w:rsid w:val="4E27683A"/>
    <w:rsid w:val="4E321D35"/>
    <w:rsid w:val="4E397241"/>
    <w:rsid w:val="4E4C50A3"/>
    <w:rsid w:val="4E510698"/>
    <w:rsid w:val="4E576363"/>
    <w:rsid w:val="4E5D49B1"/>
    <w:rsid w:val="4E615519"/>
    <w:rsid w:val="4E635567"/>
    <w:rsid w:val="4E674786"/>
    <w:rsid w:val="4E676D7A"/>
    <w:rsid w:val="4E742982"/>
    <w:rsid w:val="4E743D7E"/>
    <w:rsid w:val="4E7F1E8F"/>
    <w:rsid w:val="4E8431F9"/>
    <w:rsid w:val="4E862481"/>
    <w:rsid w:val="4E901072"/>
    <w:rsid w:val="4E9C0636"/>
    <w:rsid w:val="4E9D29FB"/>
    <w:rsid w:val="4EA30DB6"/>
    <w:rsid w:val="4EA7341F"/>
    <w:rsid w:val="4EDB58B2"/>
    <w:rsid w:val="4EE925CE"/>
    <w:rsid w:val="4EEB1A94"/>
    <w:rsid w:val="4EEB74E5"/>
    <w:rsid w:val="4EEF2E30"/>
    <w:rsid w:val="4EF24828"/>
    <w:rsid w:val="4EFE7F59"/>
    <w:rsid w:val="4F285975"/>
    <w:rsid w:val="4F2A7BF3"/>
    <w:rsid w:val="4F2E2624"/>
    <w:rsid w:val="4F4E1077"/>
    <w:rsid w:val="4F546156"/>
    <w:rsid w:val="4F5D1434"/>
    <w:rsid w:val="4F7C136F"/>
    <w:rsid w:val="4F844A99"/>
    <w:rsid w:val="4F94662C"/>
    <w:rsid w:val="4FB00163"/>
    <w:rsid w:val="4FB208E7"/>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72B85"/>
    <w:rsid w:val="52284E31"/>
    <w:rsid w:val="52315E02"/>
    <w:rsid w:val="523841A5"/>
    <w:rsid w:val="523E09B5"/>
    <w:rsid w:val="52687B2A"/>
    <w:rsid w:val="526E0E82"/>
    <w:rsid w:val="527733A7"/>
    <w:rsid w:val="527901C6"/>
    <w:rsid w:val="528F4A24"/>
    <w:rsid w:val="52944BB6"/>
    <w:rsid w:val="529A08FC"/>
    <w:rsid w:val="52A24532"/>
    <w:rsid w:val="52B3363A"/>
    <w:rsid w:val="52C4763C"/>
    <w:rsid w:val="52D944B7"/>
    <w:rsid w:val="52DE691D"/>
    <w:rsid w:val="52E04D27"/>
    <w:rsid w:val="52ED0C96"/>
    <w:rsid w:val="52FD644D"/>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3263B"/>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572F0"/>
    <w:rsid w:val="55B63FD5"/>
    <w:rsid w:val="55C35A76"/>
    <w:rsid w:val="55CC592A"/>
    <w:rsid w:val="55D40743"/>
    <w:rsid w:val="55DD6F2A"/>
    <w:rsid w:val="55E73480"/>
    <w:rsid w:val="55E8339E"/>
    <w:rsid w:val="55F06771"/>
    <w:rsid w:val="5608031D"/>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04D2F"/>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B37BE"/>
    <w:rsid w:val="580F1B21"/>
    <w:rsid w:val="581B7E79"/>
    <w:rsid w:val="58500F22"/>
    <w:rsid w:val="58587379"/>
    <w:rsid w:val="586D57A3"/>
    <w:rsid w:val="587917A0"/>
    <w:rsid w:val="587A4288"/>
    <w:rsid w:val="5880052B"/>
    <w:rsid w:val="58816C34"/>
    <w:rsid w:val="58AD27D9"/>
    <w:rsid w:val="58B169A2"/>
    <w:rsid w:val="58B9636C"/>
    <w:rsid w:val="58C37133"/>
    <w:rsid w:val="58C93046"/>
    <w:rsid w:val="58D36BCB"/>
    <w:rsid w:val="58E00BA4"/>
    <w:rsid w:val="58E6349C"/>
    <w:rsid w:val="58EF63EE"/>
    <w:rsid w:val="590317F0"/>
    <w:rsid w:val="59075000"/>
    <w:rsid w:val="593504BB"/>
    <w:rsid w:val="593559FD"/>
    <w:rsid w:val="594079B2"/>
    <w:rsid w:val="596A688E"/>
    <w:rsid w:val="5987482A"/>
    <w:rsid w:val="598C6F19"/>
    <w:rsid w:val="599C49A8"/>
    <w:rsid w:val="59A36725"/>
    <w:rsid w:val="59B21BF9"/>
    <w:rsid w:val="59BB4EA3"/>
    <w:rsid w:val="59E9525B"/>
    <w:rsid w:val="59F01012"/>
    <w:rsid w:val="59F70BAF"/>
    <w:rsid w:val="5A0D5C90"/>
    <w:rsid w:val="5A297D0D"/>
    <w:rsid w:val="5A3B166C"/>
    <w:rsid w:val="5A3C0F08"/>
    <w:rsid w:val="5A3E5B83"/>
    <w:rsid w:val="5A54407C"/>
    <w:rsid w:val="5A5663A3"/>
    <w:rsid w:val="5A571746"/>
    <w:rsid w:val="5A6253E3"/>
    <w:rsid w:val="5A680E5C"/>
    <w:rsid w:val="5A8E2B19"/>
    <w:rsid w:val="5A8E6670"/>
    <w:rsid w:val="5A912613"/>
    <w:rsid w:val="5A9245E9"/>
    <w:rsid w:val="5A953D41"/>
    <w:rsid w:val="5AAD5F60"/>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239E2"/>
    <w:rsid w:val="5BC677D8"/>
    <w:rsid w:val="5BEB0120"/>
    <w:rsid w:val="5BEC175C"/>
    <w:rsid w:val="5C097C4E"/>
    <w:rsid w:val="5C1A3A93"/>
    <w:rsid w:val="5C235386"/>
    <w:rsid w:val="5C2C486E"/>
    <w:rsid w:val="5C2E555F"/>
    <w:rsid w:val="5C3B6CFC"/>
    <w:rsid w:val="5C436B74"/>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A4F5F"/>
    <w:rsid w:val="5DEC05A1"/>
    <w:rsid w:val="5DEE0433"/>
    <w:rsid w:val="5DF007E7"/>
    <w:rsid w:val="5DFD51DB"/>
    <w:rsid w:val="5E0071D0"/>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F0B9E"/>
    <w:rsid w:val="5F8F267A"/>
    <w:rsid w:val="5FAA5E0A"/>
    <w:rsid w:val="5FB7185B"/>
    <w:rsid w:val="5FB83A9C"/>
    <w:rsid w:val="5FB83AA6"/>
    <w:rsid w:val="5FB94C48"/>
    <w:rsid w:val="5FC9714B"/>
    <w:rsid w:val="5FD74F41"/>
    <w:rsid w:val="5FDE327E"/>
    <w:rsid w:val="5FED6F65"/>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1614B"/>
    <w:rsid w:val="605214E2"/>
    <w:rsid w:val="605429B8"/>
    <w:rsid w:val="606711B4"/>
    <w:rsid w:val="60673C40"/>
    <w:rsid w:val="606A52D4"/>
    <w:rsid w:val="607C3753"/>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AE3F39"/>
    <w:rsid w:val="61B173D2"/>
    <w:rsid w:val="61D43A2B"/>
    <w:rsid w:val="61E34474"/>
    <w:rsid w:val="61EB5611"/>
    <w:rsid w:val="61FF316E"/>
    <w:rsid w:val="621542CB"/>
    <w:rsid w:val="622A0761"/>
    <w:rsid w:val="624263A2"/>
    <w:rsid w:val="624649E6"/>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41CD8"/>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5D5B5E"/>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917ADB"/>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4855CF"/>
    <w:rsid w:val="665572E9"/>
    <w:rsid w:val="665B55EA"/>
    <w:rsid w:val="66641D58"/>
    <w:rsid w:val="66655F85"/>
    <w:rsid w:val="667A3064"/>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213F6"/>
    <w:rsid w:val="674318B2"/>
    <w:rsid w:val="674D4B22"/>
    <w:rsid w:val="67570422"/>
    <w:rsid w:val="675D31B4"/>
    <w:rsid w:val="67646948"/>
    <w:rsid w:val="676D2F4B"/>
    <w:rsid w:val="677A266A"/>
    <w:rsid w:val="677C1A81"/>
    <w:rsid w:val="677E7198"/>
    <w:rsid w:val="678A426A"/>
    <w:rsid w:val="67914BE1"/>
    <w:rsid w:val="67A01F16"/>
    <w:rsid w:val="67A96661"/>
    <w:rsid w:val="67B163D1"/>
    <w:rsid w:val="67D7447D"/>
    <w:rsid w:val="67F45538"/>
    <w:rsid w:val="680239EB"/>
    <w:rsid w:val="680722DA"/>
    <w:rsid w:val="682211D1"/>
    <w:rsid w:val="6836510C"/>
    <w:rsid w:val="685C6395"/>
    <w:rsid w:val="686318DD"/>
    <w:rsid w:val="68635145"/>
    <w:rsid w:val="687F607E"/>
    <w:rsid w:val="689A41FB"/>
    <w:rsid w:val="689E57F0"/>
    <w:rsid w:val="68A34C5C"/>
    <w:rsid w:val="68B85B1E"/>
    <w:rsid w:val="68DE5654"/>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50D82"/>
    <w:rsid w:val="6A7B4B9C"/>
    <w:rsid w:val="6A7F585E"/>
    <w:rsid w:val="6AAF014C"/>
    <w:rsid w:val="6AC07690"/>
    <w:rsid w:val="6ACB082B"/>
    <w:rsid w:val="6AD3247E"/>
    <w:rsid w:val="6AE4699C"/>
    <w:rsid w:val="6AF317C6"/>
    <w:rsid w:val="6B09696B"/>
    <w:rsid w:val="6B1A1EA3"/>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313672"/>
    <w:rsid w:val="6C3E2FAF"/>
    <w:rsid w:val="6C45610F"/>
    <w:rsid w:val="6C59472D"/>
    <w:rsid w:val="6C5A4564"/>
    <w:rsid w:val="6C603744"/>
    <w:rsid w:val="6C637CCF"/>
    <w:rsid w:val="6C7802EB"/>
    <w:rsid w:val="6C89456C"/>
    <w:rsid w:val="6CA20D5B"/>
    <w:rsid w:val="6CB71894"/>
    <w:rsid w:val="6CB84C54"/>
    <w:rsid w:val="6CD63FB3"/>
    <w:rsid w:val="6CFD5D1F"/>
    <w:rsid w:val="6CFE035F"/>
    <w:rsid w:val="6D056EA6"/>
    <w:rsid w:val="6D125FB4"/>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2E6AC8"/>
    <w:rsid w:val="6E317378"/>
    <w:rsid w:val="6E3C2F4C"/>
    <w:rsid w:val="6E3E5591"/>
    <w:rsid w:val="6E4215C6"/>
    <w:rsid w:val="6E4B0158"/>
    <w:rsid w:val="6E4D611F"/>
    <w:rsid w:val="6E567C9E"/>
    <w:rsid w:val="6E581685"/>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C284A"/>
    <w:rsid w:val="6F0D382C"/>
    <w:rsid w:val="6F163090"/>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529ED"/>
    <w:rsid w:val="6FF223F7"/>
    <w:rsid w:val="6FF733A7"/>
    <w:rsid w:val="70003DD9"/>
    <w:rsid w:val="70072915"/>
    <w:rsid w:val="70172090"/>
    <w:rsid w:val="70195E88"/>
    <w:rsid w:val="701D43BA"/>
    <w:rsid w:val="702B6F43"/>
    <w:rsid w:val="7032079E"/>
    <w:rsid w:val="703C186A"/>
    <w:rsid w:val="70570007"/>
    <w:rsid w:val="705843B4"/>
    <w:rsid w:val="70655A58"/>
    <w:rsid w:val="706A16CA"/>
    <w:rsid w:val="7079015D"/>
    <w:rsid w:val="70822BAD"/>
    <w:rsid w:val="708746BC"/>
    <w:rsid w:val="708F7F54"/>
    <w:rsid w:val="709E3D85"/>
    <w:rsid w:val="70A36A35"/>
    <w:rsid w:val="70AC660B"/>
    <w:rsid w:val="70B17138"/>
    <w:rsid w:val="70BB2EF0"/>
    <w:rsid w:val="70BC2801"/>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540C"/>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172AD2"/>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93216"/>
    <w:rsid w:val="74B44784"/>
    <w:rsid w:val="74B808BF"/>
    <w:rsid w:val="74C03187"/>
    <w:rsid w:val="74E4756E"/>
    <w:rsid w:val="74EA0E1A"/>
    <w:rsid w:val="74ED19FF"/>
    <w:rsid w:val="74F4641C"/>
    <w:rsid w:val="75084E8F"/>
    <w:rsid w:val="7509261E"/>
    <w:rsid w:val="75202656"/>
    <w:rsid w:val="752231CE"/>
    <w:rsid w:val="75752B04"/>
    <w:rsid w:val="758910BB"/>
    <w:rsid w:val="75955DA9"/>
    <w:rsid w:val="75977910"/>
    <w:rsid w:val="75985DFA"/>
    <w:rsid w:val="759F2A35"/>
    <w:rsid w:val="75AE1D3D"/>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322F2"/>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0319"/>
    <w:rsid w:val="779258CC"/>
    <w:rsid w:val="7794068F"/>
    <w:rsid w:val="779A096B"/>
    <w:rsid w:val="779B52FF"/>
    <w:rsid w:val="77A00E75"/>
    <w:rsid w:val="77A80D17"/>
    <w:rsid w:val="77B841F3"/>
    <w:rsid w:val="77C078B1"/>
    <w:rsid w:val="77E66E3C"/>
    <w:rsid w:val="77F3789A"/>
    <w:rsid w:val="780326B9"/>
    <w:rsid w:val="780332E5"/>
    <w:rsid w:val="78103211"/>
    <w:rsid w:val="7833711D"/>
    <w:rsid w:val="78460D63"/>
    <w:rsid w:val="78497C2E"/>
    <w:rsid w:val="784D350A"/>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609BD"/>
    <w:rsid w:val="79D715DF"/>
    <w:rsid w:val="79DC713A"/>
    <w:rsid w:val="79EC0256"/>
    <w:rsid w:val="79F60153"/>
    <w:rsid w:val="79FB6E2C"/>
    <w:rsid w:val="7A36322F"/>
    <w:rsid w:val="7A3C2BAA"/>
    <w:rsid w:val="7A3D2527"/>
    <w:rsid w:val="7A4C2D60"/>
    <w:rsid w:val="7A5C4815"/>
    <w:rsid w:val="7A5E0869"/>
    <w:rsid w:val="7A6E4BF5"/>
    <w:rsid w:val="7A721BEA"/>
    <w:rsid w:val="7A7A2665"/>
    <w:rsid w:val="7A851D5D"/>
    <w:rsid w:val="7A8A2267"/>
    <w:rsid w:val="7A9E475D"/>
    <w:rsid w:val="7AB53126"/>
    <w:rsid w:val="7AB7121B"/>
    <w:rsid w:val="7AB76FE8"/>
    <w:rsid w:val="7AD268E2"/>
    <w:rsid w:val="7ADC0B33"/>
    <w:rsid w:val="7AE14C19"/>
    <w:rsid w:val="7AEA174E"/>
    <w:rsid w:val="7B03747C"/>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521A"/>
    <w:rsid w:val="7C4A2BD1"/>
    <w:rsid w:val="7C4D3862"/>
    <w:rsid w:val="7C576C70"/>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807CB"/>
    <w:rsid w:val="7D3B3737"/>
    <w:rsid w:val="7D3D73AF"/>
    <w:rsid w:val="7D5B27C9"/>
    <w:rsid w:val="7D600AB8"/>
    <w:rsid w:val="7D62117D"/>
    <w:rsid w:val="7D6B7F02"/>
    <w:rsid w:val="7D834A16"/>
    <w:rsid w:val="7D9D0A97"/>
    <w:rsid w:val="7D9D438F"/>
    <w:rsid w:val="7DA514D2"/>
    <w:rsid w:val="7DBB5D06"/>
    <w:rsid w:val="7DCD1A27"/>
    <w:rsid w:val="7DCD4EB5"/>
    <w:rsid w:val="7E090313"/>
    <w:rsid w:val="7E3E0FEC"/>
    <w:rsid w:val="7E3E1EF2"/>
    <w:rsid w:val="7E4247D7"/>
    <w:rsid w:val="7E517B0C"/>
    <w:rsid w:val="7E566EA2"/>
    <w:rsid w:val="7E5C1ABA"/>
    <w:rsid w:val="7E61281D"/>
    <w:rsid w:val="7E622778"/>
    <w:rsid w:val="7E756346"/>
    <w:rsid w:val="7E85174A"/>
    <w:rsid w:val="7E855DEE"/>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67ED8"/>
    <w:rsid w:val="7F271AA3"/>
    <w:rsid w:val="7F542B37"/>
    <w:rsid w:val="7F54566E"/>
    <w:rsid w:val="7F6B2248"/>
    <w:rsid w:val="7F7D7A8E"/>
    <w:rsid w:val="7F872588"/>
    <w:rsid w:val="7F8725BA"/>
    <w:rsid w:val="7F8C6A8F"/>
    <w:rsid w:val="7F966D75"/>
    <w:rsid w:val="7F9C175D"/>
    <w:rsid w:val="7FA85877"/>
    <w:rsid w:val="7FAB3A81"/>
    <w:rsid w:val="7FBE68FB"/>
    <w:rsid w:val="7FCB6843"/>
    <w:rsid w:val="7FDC52B9"/>
    <w:rsid w:val="7FE653BC"/>
    <w:rsid w:val="7FEA5C65"/>
    <w:rsid w:val="7FF60B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19</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Moderator</cp:lastModifiedBy>
  <dcterms:modified xsi:type="dcterms:W3CDTF">2023-05-15T10:33:04Z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